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37305" w14:textId="1354A620" w:rsidR="00651353" w:rsidRPr="00487A6A" w:rsidRDefault="00CB4B0A" w:rsidP="005C439F">
      <w:pPr>
        <w:pStyle w:val="Heading1"/>
        <w:rPr>
          <w:rFonts w:ascii="Arial" w:hAnsi="Arial" w:cs="Arial"/>
          <w:sz w:val="28"/>
          <w:szCs w:val="28"/>
        </w:rPr>
      </w:pPr>
      <w:r w:rsidRPr="00487A6A">
        <w:rPr>
          <w:rFonts w:ascii="Arial" w:hAnsi="Arial" w:cs="Arial"/>
          <w:sz w:val="28"/>
          <w:szCs w:val="28"/>
        </w:rPr>
        <w:t xml:space="preserve">Introduction/Background </w:t>
      </w:r>
    </w:p>
    <w:p w14:paraId="29BEBF16" w14:textId="5BCA1097" w:rsidR="00FE58DF" w:rsidRPr="00487A6A" w:rsidRDefault="008508D2" w:rsidP="008A761B">
      <w:pPr>
        <w:spacing w:line="480" w:lineRule="auto"/>
        <w:ind w:firstLine="720"/>
        <w:rPr>
          <w:rFonts w:ascii="Arial" w:hAnsi="Arial" w:cs="Arial"/>
        </w:rPr>
      </w:pPr>
      <w:r w:rsidRPr="00487A6A">
        <w:rPr>
          <w:rFonts w:ascii="Arial" w:hAnsi="Arial" w:cs="Arial"/>
        </w:rPr>
        <w:t>W</w:t>
      </w:r>
      <w:r w:rsidR="00CB4B0A" w:rsidRPr="00487A6A">
        <w:rPr>
          <w:rFonts w:ascii="Arial" w:hAnsi="Arial" w:cs="Arial"/>
        </w:rPr>
        <w:t>ithin the rhetoric surrounding long</w:t>
      </w:r>
      <w:r w:rsidR="00FE58DF" w:rsidRPr="00487A6A">
        <w:rPr>
          <w:rFonts w:ascii="Arial" w:hAnsi="Arial" w:cs="Arial"/>
        </w:rPr>
        <w:t>-</w:t>
      </w:r>
      <w:r w:rsidR="00CB4B0A" w:rsidRPr="00487A6A">
        <w:rPr>
          <w:rFonts w:ascii="Arial" w:hAnsi="Arial" w:cs="Arial"/>
        </w:rPr>
        <w:t xml:space="preserve">term care homes, mention of inadequate staffing levels and quality of care are discussed, but little is mentioned surrounding racism within </w:t>
      </w:r>
      <w:r w:rsidR="00534D99" w:rsidRPr="00487A6A">
        <w:rPr>
          <w:rFonts w:ascii="Arial" w:hAnsi="Arial" w:cs="Arial"/>
        </w:rPr>
        <w:t>long-term care</w:t>
      </w:r>
      <w:r w:rsidR="00CB4B0A" w:rsidRPr="00487A6A">
        <w:rPr>
          <w:rFonts w:ascii="Arial" w:hAnsi="Arial" w:cs="Arial"/>
        </w:rPr>
        <w:t xml:space="preserve">. </w:t>
      </w:r>
      <w:r w:rsidR="00FE58DF" w:rsidRPr="00487A6A">
        <w:rPr>
          <w:rFonts w:ascii="Arial" w:hAnsi="Arial" w:cs="Arial"/>
        </w:rPr>
        <w:t xml:space="preserve">Racism can </w:t>
      </w:r>
      <w:r w:rsidR="00E27B08" w:rsidRPr="00487A6A">
        <w:rPr>
          <w:rFonts w:ascii="Arial" w:hAnsi="Arial" w:cs="Arial"/>
        </w:rPr>
        <w:t>prevail</w:t>
      </w:r>
      <w:r w:rsidR="00FE58DF" w:rsidRPr="00487A6A">
        <w:rPr>
          <w:rFonts w:ascii="Arial" w:hAnsi="Arial" w:cs="Arial"/>
        </w:rPr>
        <w:t xml:space="preserve"> in e</w:t>
      </w:r>
      <w:r w:rsidR="00F91ECE" w:rsidRPr="00487A6A">
        <w:rPr>
          <w:rFonts w:ascii="Arial" w:hAnsi="Arial" w:cs="Arial"/>
        </w:rPr>
        <w:t xml:space="preserve">lements such as the western focused art on the walls, stereotypical therapeutic recreation programs, and only Catholicism centered religious spaces </w:t>
      </w:r>
      <w:r w:rsidR="00E27B08" w:rsidRPr="00487A6A">
        <w:rPr>
          <w:rFonts w:ascii="Arial" w:hAnsi="Arial" w:cs="Arial"/>
        </w:rPr>
        <w:t xml:space="preserve">which </w:t>
      </w:r>
      <w:r w:rsidR="00F91ECE" w:rsidRPr="00487A6A">
        <w:rPr>
          <w:rFonts w:ascii="Arial" w:hAnsi="Arial" w:cs="Arial"/>
        </w:rPr>
        <w:t>all breed racism within long</w:t>
      </w:r>
      <w:r w:rsidR="00FE58DF" w:rsidRPr="00487A6A">
        <w:rPr>
          <w:rFonts w:ascii="Arial" w:hAnsi="Arial" w:cs="Arial"/>
        </w:rPr>
        <w:t>-</w:t>
      </w:r>
      <w:r w:rsidR="00F91ECE" w:rsidRPr="00487A6A">
        <w:rPr>
          <w:rFonts w:ascii="Arial" w:hAnsi="Arial" w:cs="Arial"/>
        </w:rPr>
        <w:t>term care homes</w:t>
      </w:r>
      <w:r w:rsidR="003B1D66" w:rsidRPr="00487A6A">
        <w:rPr>
          <w:rFonts w:ascii="Arial" w:hAnsi="Arial" w:cs="Arial"/>
        </w:rPr>
        <w:t>.</w:t>
      </w:r>
      <w:r w:rsidR="00FE58DF" w:rsidRPr="00487A6A">
        <w:rPr>
          <w:rFonts w:ascii="Arial" w:hAnsi="Arial" w:cs="Arial"/>
        </w:rPr>
        <w:t xml:space="preserve"> Homes are known for little effort in welcoming anyone beyond white-middle class older adults, and persons of colour are </w:t>
      </w:r>
      <w:r w:rsidR="00E27B08" w:rsidRPr="00487A6A">
        <w:rPr>
          <w:rFonts w:ascii="Arial" w:hAnsi="Arial" w:cs="Arial"/>
        </w:rPr>
        <w:t>underrepresented</w:t>
      </w:r>
      <w:r w:rsidR="00FE58DF" w:rsidRPr="00487A6A">
        <w:rPr>
          <w:rFonts w:ascii="Arial" w:hAnsi="Arial" w:cs="Arial"/>
        </w:rPr>
        <w:t xml:space="preserve"> in the populations receiving care in long-term care</w:t>
      </w:r>
      <w:r w:rsidR="00934B9D">
        <w:rPr>
          <w:rFonts w:ascii="Arial" w:hAnsi="Arial" w:cs="Arial"/>
        </w:rPr>
        <w:t xml:space="preserve"> homes</w:t>
      </w:r>
      <w:r w:rsidR="00FE58DF" w:rsidRPr="00487A6A">
        <w:rPr>
          <w:rFonts w:ascii="Arial" w:hAnsi="Arial" w:cs="Arial"/>
        </w:rPr>
        <w:t xml:space="preserve"> (Nichols, 2020). </w:t>
      </w:r>
      <w:r w:rsidR="00DD7C59" w:rsidRPr="00487A6A">
        <w:rPr>
          <w:rFonts w:ascii="Arial" w:hAnsi="Arial" w:cs="Arial"/>
        </w:rPr>
        <w:t xml:space="preserve"> </w:t>
      </w:r>
      <w:r w:rsidR="00FE58DF" w:rsidRPr="00487A6A">
        <w:rPr>
          <w:rFonts w:ascii="Arial" w:hAnsi="Arial" w:cs="Arial"/>
        </w:rPr>
        <w:t>Apart from residents, even staff members of diverse cultures are not present which leads to gaps in care due to a lack of understanding of culturally appropriate care (Nichols, 2020). When long-term care homes are not supportive and respective of cultures it leads to isolation of residents, healthcare consequences, spiritual isolation, distress</w:t>
      </w:r>
      <w:r w:rsidR="00934B9D">
        <w:rPr>
          <w:rFonts w:ascii="Arial" w:hAnsi="Arial" w:cs="Arial"/>
        </w:rPr>
        <w:t xml:space="preserve">, </w:t>
      </w:r>
      <w:r w:rsidR="00FE58DF" w:rsidRPr="00487A6A">
        <w:rPr>
          <w:rFonts w:ascii="Arial" w:hAnsi="Arial" w:cs="Arial"/>
        </w:rPr>
        <w:t>malnourishment, and alienation (</w:t>
      </w:r>
      <w:r w:rsidR="00FE58DF" w:rsidRPr="00FE58DF">
        <w:rPr>
          <w:rFonts w:ascii="Arial" w:eastAsiaTheme="minorHAnsi" w:hAnsi="Arial" w:cs="Arial"/>
        </w:rPr>
        <w:t>Ontario Centres for Learning, Research and Innovation in Long-Term Care</w:t>
      </w:r>
      <w:r w:rsidR="00FE58DF" w:rsidRPr="00487A6A">
        <w:rPr>
          <w:rFonts w:ascii="Arial" w:hAnsi="Arial" w:cs="Arial"/>
        </w:rPr>
        <w:t>, 2017). Residents feel unable to speak the language of their culture nor are they provided food that is prevalent in their culture</w:t>
      </w:r>
      <w:r w:rsidR="008A761B" w:rsidRPr="00487A6A">
        <w:rPr>
          <w:rFonts w:ascii="Arial" w:hAnsi="Arial" w:cs="Arial"/>
        </w:rPr>
        <w:t xml:space="preserve">, or services and religious ceremonies that are centered around their </w:t>
      </w:r>
      <w:r w:rsidR="005B19EA" w:rsidRPr="00487A6A">
        <w:rPr>
          <w:rFonts w:ascii="Arial" w:hAnsi="Arial" w:cs="Arial"/>
        </w:rPr>
        <w:t>beliefs</w:t>
      </w:r>
      <w:r w:rsidR="008A761B" w:rsidRPr="00487A6A">
        <w:rPr>
          <w:rFonts w:ascii="Arial" w:hAnsi="Arial" w:cs="Arial"/>
        </w:rPr>
        <w:t xml:space="preserve"> (</w:t>
      </w:r>
      <w:r w:rsidR="008A761B" w:rsidRPr="00FE58DF">
        <w:rPr>
          <w:rFonts w:ascii="Arial" w:eastAsiaTheme="minorHAnsi" w:hAnsi="Arial" w:cs="Arial"/>
        </w:rPr>
        <w:t>Ontario Centres for Learning, Research and Innovation in Long-Term Care</w:t>
      </w:r>
      <w:r w:rsidR="008A761B" w:rsidRPr="00487A6A">
        <w:rPr>
          <w:rFonts w:ascii="Arial" w:hAnsi="Arial" w:cs="Arial"/>
        </w:rPr>
        <w:t xml:space="preserve">, 2017). </w:t>
      </w:r>
    </w:p>
    <w:p w14:paraId="3175E288" w14:textId="4C9EAE77" w:rsidR="00CB4B0A" w:rsidRPr="00487A6A" w:rsidRDefault="003B05E6" w:rsidP="00CB4B0A">
      <w:pPr>
        <w:spacing w:line="480" w:lineRule="auto"/>
        <w:ind w:firstLine="720"/>
        <w:rPr>
          <w:rFonts w:ascii="Arial" w:hAnsi="Arial" w:cs="Arial"/>
        </w:rPr>
      </w:pPr>
      <w:r w:rsidRPr="00487A6A">
        <w:rPr>
          <w:rFonts w:ascii="Arial" w:hAnsi="Arial" w:cs="Arial"/>
        </w:rPr>
        <w:t>Strategies pertaining to anti-racism are not a one size fits all approach</w:t>
      </w:r>
      <w:r w:rsidR="008A761B" w:rsidRPr="00487A6A">
        <w:rPr>
          <w:rFonts w:ascii="Arial" w:hAnsi="Arial" w:cs="Arial"/>
        </w:rPr>
        <w:t>. Well-developed frameworks laying out the steps needed to diversify long-term care and organizations need to be developed.</w:t>
      </w:r>
      <w:r w:rsidRPr="00487A6A">
        <w:rPr>
          <w:rFonts w:ascii="Arial" w:hAnsi="Arial" w:cs="Arial"/>
        </w:rPr>
        <w:t xml:space="preserve"> In this </w:t>
      </w:r>
      <w:r w:rsidR="002960CE" w:rsidRPr="00487A6A">
        <w:rPr>
          <w:rFonts w:ascii="Arial" w:hAnsi="Arial" w:cs="Arial"/>
        </w:rPr>
        <w:t>jurisdictional</w:t>
      </w:r>
      <w:r w:rsidRPr="00487A6A">
        <w:rPr>
          <w:rFonts w:ascii="Arial" w:hAnsi="Arial" w:cs="Arial"/>
        </w:rPr>
        <w:t xml:space="preserve"> scan </w:t>
      </w:r>
      <w:r w:rsidR="00534D99" w:rsidRPr="00487A6A">
        <w:rPr>
          <w:rFonts w:ascii="Arial" w:hAnsi="Arial" w:cs="Arial"/>
        </w:rPr>
        <w:t>I</w:t>
      </w:r>
      <w:r w:rsidRPr="00487A6A">
        <w:rPr>
          <w:rFonts w:ascii="Arial" w:hAnsi="Arial" w:cs="Arial"/>
        </w:rPr>
        <w:t xml:space="preserve"> analyze a culturally appropriate </w:t>
      </w:r>
      <w:r w:rsidR="008A761B" w:rsidRPr="00487A6A">
        <w:rPr>
          <w:rFonts w:ascii="Arial" w:hAnsi="Arial" w:cs="Arial"/>
        </w:rPr>
        <w:t>organization</w:t>
      </w:r>
      <w:r w:rsidRPr="00487A6A">
        <w:rPr>
          <w:rFonts w:ascii="Arial" w:hAnsi="Arial" w:cs="Arial"/>
        </w:rPr>
        <w:t xml:space="preserve"> in </w:t>
      </w:r>
      <w:r w:rsidR="002960CE" w:rsidRPr="00487A6A">
        <w:rPr>
          <w:rFonts w:ascii="Arial" w:hAnsi="Arial" w:cs="Arial"/>
        </w:rPr>
        <w:t>Australia</w:t>
      </w:r>
      <w:r w:rsidRPr="00487A6A">
        <w:rPr>
          <w:rFonts w:ascii="Arial" w:hAnsi="Arial" w:cs="Arial"/>
        </w:rPr>
        <w:t xml:space="preserve"> and </w:t>
      </w:r>
      <w:r w:rsidR="008A761B" w:rsidRPr="00487A6A">
        <w:rPr>
          <w:rFonts w:ascii="Arial" w:hAnsi="Arial" w:cs="Arial"/>
        </w:rPr>
        <w:t>the</w:t>
      </w:r>
      <w:r w:rsidRPr="00487A6A">
        <w:rPr>
          <w:rFonts w:ascii="Arial" w:hAnsi="Arial" w:cs="Arial"/>
        </w:rPr>
        <w:t xml:space="preserve"> six-stage model of change in British Columbia (BC).  </w:t>
      </w:r>
    </w:p>
    <w:p w14:paraId="41C1D64C" w14:textId="4478252E" w:rsidR="00DD7C59" w:rsidRPr="00487A6A" w:rsidRDefault="005C439F" w:rsidP="005C439F">
      <w:pPr>
        <w:pStyle w:val="Heading1"/>
        <w:rPr>
          <w:rFonts w:ascii="Arial" w:hAnsi="Arial" w:cs="Arial"/>
        </w:rPr>
      </w:pPr>
      <w:r w:rsidRPr="00487A6A">
        <w:rPr>
          <w:rFonts w:ascii="Arial" w:hAnsi="Arial" w:cs="Arial"/>
        </w:rPr>
        <w:lastRenderedPageBreak/>
        <w:t xml:space="preserve">Methods </w:t>
      </w:r>
    </w:p>
    <w:p w14:paraId="50372E20" w14:textId="573A6573" w:rsidR="00534D99" w:rsidRPr="00487A6A" w:rsidRDefault="00534D99" w:rsidP="00534D99">
      <w:pPr>
        <w:spacing w:line="480" w:lineRule="auto"/>
        <w:ind w:firstLine="720"/>
        <w:rPr>
          <w:rFonts w:ascii="Arial" w:hAnsi="Arial" w:cs="Arial"/>
        </w:rPr>
      </w:pPr>
      <w:r w:rsidRPr="00487A6A">
        <w:rPr>
          <w:rFonts w:ascii="Arial" w:hAnsi="Arial" w:cs="Arial"/>
        </w:rPr>
        <w:t>Th</w:t>
      </w:r>
      <w:r w:rsidR="002B177C" w:rsidRPr="00487A6A">
        <w:rPr>
          <w:rFonts w:ascii="Arial" w:hAnsi="Arial" w:cs="Arial"/>
        </w:rPr>
        <w:t>is</w:t>
      </w:r>
      <w:r w:rsidRPr="00487A6A">
        <w:rPr>
          <w:rFonts w:ascii="Arial" w:hAnsi="Arial" w:cs="Arial"/>
        </w:rPr>
        <w:t xml:space="preserve"> jurisdictional scan focuse</w:t>
      </w:r>
      <w:r w:rsidR="002B177C" w:rsidRPr="00487A6A">
        <w:rPr>
          <w:rFonts w:ascii="Arial" w:hAnsi="Arial" w:cs="Arial"/>
        </w:rPr>
        <w:t>s</w:t>
      </w:r>
      <w:r w:rsidRPr="00487A6A">
        <w:rPr>
          <w:rFonts w:ascii="Arial" w:hAnsi="Arial" w:cs="Arial"/>
        </w:rPr>
        <w:t xml:space="preserve"> on the analysis of the literature on current practices to address systemic racism</w:t>
      </w:r>
      <w:r w:rsidR="00640E5F" w:rsidRPr="00487A6A">
        <w:rPr>
          <w:rFonts w:ascii="Arial" w:hAnsi="Arial" w:cs="Arial"/>
        </w:rPr>
        <w:t xml:space="preserve"> in long-term care</w:t>
      </w:r>
      <w:r w:rsidRPr="00487A6A">
        <w:rPr>
          <w:rFonts w:ascii="Arial" w:hAnsi="Arial" w:cs="Arial"/>
        </w:rPr>
        <w:t xml:space="preserve">, and how other governments are working to address the issue. </w:t>
      </w:r>
      <w:r w:rsidR="006F2EF4" w:rsidRPr="00487A6A">
        <w:rPr>
          <w:rFonts w:ascii="Arial" w:hAnsi="Arial" w:cs="Arial"/>
        </w:rPr>
        <w:t>Australia</w:t>
      </w:r>
      <w:r w:rsidRPr="00487A6A">
        <w:rPr>
          <w:rFonts w:ascii="Arial" w:hAnsi="Arial" w:cs="Arial"/>
        </w:rPr>
        <w:t xml:space="preserve"> and British Columbia were both locations where </w:t>
      </w:r>
      <w:r w:rsidR="008E2023" w:rsidRPr="00487A6A">
        <w:rPr>
          <w:rFonts w:ascii="Arial" w:hAnsi="Arial" w:cs="Arial"/>
        </w:rPr>
        <w:t>resources</w:t>
      </w:r>
      <w:r w:rsidRPr="00487A6A">
        <w:rPr>
          <w:rFonts w:ascii="Arial" w:hAnsi="Arial" w:cs="Arial"/>
        </w:rPr>
        <w:t xml:space="preserve"> ha</w:t>
      </w:r>
      <w:r w:rsidR="008E2023" w:rsidRPr="00487A6A">
        <w:rPr>
          <w:rFonts w:ascii="Arial" w:hAnsi="Arial" w:cs="Arial"/>
        </w:rPr>
        <w:t>ve</w:t>
      </w:r>
      <w:r w:rsidRPr="00487A6A">
        <w:rPr>
          <w:rFonts w:ascii="Arial" w:hAnsi="Arial" w:cs="Arial"/>
        </w:rPr>
        <w:t xml:space="preserve"> been generated to improve the </w:t>
      </w:r>
      <w:r w:rsidR="006F2EF4" w:rsidRPr="00487A6A">
        <w:rPr>
          <w:rFonts w:ascii="Arial" w:hAnsi="Arial" w:cs="Arial"/>
        </w:rPr>
        <w:t>issue or</w:t>
      </w:r>
      <w:r w:rsidRPr="00487A6A">
        <w:rPr>
          <w:rFonts w:ascii="Arial" w:hAnsi="Arial" w:cs="Arial"/>
        </w:rPr>
        <w:t xml:space="preserve"> provide a framework that can be translated to other regions to combat racism within long-term care</w:t>
      </w:r>
      <w:r w:rsidR="00934B9D">
        <w:rPr>
          <w:rFonts w:ascii="Arial" w:hAnsi="Arial" w:cs="Arial"/>
        </w:rPr>
        <w:t xml:space="preserve"> homes</w:t>
      </w:r>
      <w:r w:rsidRPr="00487A6A">
        <w:rPr>
          <w:rFonts w:ascii="Arial" w:hAnsi="Arial" w:cs="Arial"/>
        </w:rPr>
        <w:t xml:space="preserve">. </w:t>
      </w:r>
    </w:p>
    <w:p w14:paraId="4B3ED787" w14:textId="0202311A" w:rsidR="008E2023" w:rsidRPr="00487A6A" w:rsidRDefault="008E2023" w:rsidP="00534D99">
      <w:pPr>
        <w:spacing w:line="480" w:lineRule="auto"/>
        <w:ind w:firstLine="720"/>
        <w:rPr>
          <w:rFonts w:ascii="Arial" w:hAnsi="Arial" w:cs="Arial"/>
        </w:rPr>
      </w:pPr>
      <w:r w:rsidRPr="00487A6A">
        <w:rPr>
          <w:rFonts w:ascii="Arial" w:hAnsi="Arial" w:cs="Arial"/>
        </w:rPr>
        <w:t xml:space="preserve">When determining which cases to include, I examined many with key inclusion criteria. The first criteria </w:t>
      </w:r>
      <w:r w:rsidR="00640E5F" w:rsidRPr="00487A6A">
        <w:rPr>
          <w:rFonts w:ascii="Arial" w:hAnsi="Arial" w:cs="Arial"/>
        </w:rPr>
        <w:t>were</w:t>
      </w:r>
      <w:r w:rsidRPr="00487A6A">
        <w:rPr>
          <w:rFonts w:ascii="Arial" w:hAnsi="Arial" w:cs="Arial"/>
        </w:rPr>
        <w:t xml:space="preserve"> that a framework or resource would be ideal for implementation in other regions. In Australia they developed a service </w:t>
      </w:r>
      <w:r w:rsidR="00934B9D">
        <w:rPr>
          <w:rFonts w:ascii="Arial" w:hAnsi="Arial" w:cs="Arial"/>
        </w:rPr>
        <w:t>to ensure</w:t>
      </w:r>
      <w:r w:rsidR="00934B9D" w:rsidRPr="00487A6A">
        <w:rPr>
          <w:rFonts w:ascii="Arial" w:hAnsi="Arial" w:cs="Arial"/>
        </w:rPr>
        <w:t xml:space="preserve"> </w:t>
      </w:r>
      <w:r w:rsidRPr="00487A6A">
        <w:rPr>
          <w:rFonts w:ascii="Arial" w:hAnsi="Arial" w:cs="Arial"/>
        </w:rPr>
        <w:t xml:space="preserve">that culturally appropriate services </w:t>
      </w:r>
      <w:r w:rsidR="00934B9D">
        <w:rPr>
          <w:rFonts w:ascii="Arial" w:hAnsi="Arial" w:cs="Arial"/>
        </w:rPr>
        <w:t>are</w:t>
      </w:r>
      <w:r w:rsidR="00934B9D" w:rsidRPr="00487A6A">
        <w:rPr>
          <w:rFonts w:ascii="Arial" w:hAnsi="Arial" w:cs="Arial"/>
        </w:rPr>
        <w:t xml:space="preserve"> </w:t>
      </w:r>
      <w:r w:rsidRPr="00487A6A">
        <w:rPr>
          <w:rFonts w:ascii="Arial" w:hAnsi="Arial" w:cs="Arial"/>
        </w:rPr>
        <w:t xml:space="preserve">provided to </w:t>
      </w:r>
      <w:r w:rsidR="00640E5F" w:rsidRPr="00487A6A">
        <w:rPr>
          <w:rFonts w:ascii="Arial" w:hAnsi="Arial" w:cs="Arial"/>
        </w:rPr>
        <w:t>A</w:t>
      </w:r>
      <w:r w:rsidRPr="00487A6A">
        <w:rPr>
          <w:rFonts w:ascii="Arial" w:hAnsi="Arial" w:cs="Arial"/>
        </w:rPr>
        <w:t>boriginal peoples, a</w:t>
      </w:r>
      <w:r w:rsidR="00934B9D">
        <w:rPr>
          <w:rFonts w:ascii="Arial" w:hAnsi="Arial" w:cs="Arial"/>
        </w:rPr>
        <w:t>n</w:t>
      </w:r>
      <w:r w:rsidRPr="00487A6A">
        <w:rPr>
          <w:rFonts w:ascii="Arial" w:hAnsi="Arial" w:cs="Arial"/>
        </w:rPr>
        <w:t xml:space="preserve"> impactful service that could be </w:t>
      </w:r>
      <w:r w:rsidR="00934B9D">
        <w:rPr>
          <w:rFonts w:ascii="Arial" w:hAnsi="Arial" w:cs="Arial"/>
        </w:rPr>
        <w:t xml:space="preserve">established within </w:t>
      </w:r>
      <w:r w:rsidRPr="00487A6A">
        <w:rPr>
          <w:rFonts w:ascii="Arial" w:hAnsi="Arial" w:cs="Arial"/>
        </w:rPr>
        <w:t xml:space="preserve">Canada, even Ontario. BC also provided a framework that assist in the development and framing of issues and how to go about changing them. For these reasons, Australia and BC were included as case studies. </w:t>
      </w:r>
    </w:p>
    <w:p w14:paraId="54C07075" w14:textId="1F134905" w:rsidR="008E2023" w:rsidRPr="00487A6A" w:rsidRDefault="008E2023" w:rsidP="00534D99">
      <w:pPr>
        <w:spacing w:line="480" w:lineRule="auto"/>
        <w:ind w:firstLine="720"/>
        <w:rPr>
          <w:rFonts w:ascii="Arial" w:hAnsi="Arial" w:cs="Arial"/>
        </w:rPr>
      </w:pPr>
      <w:r w:rsidRPr="00487A6A">
        <w:rPr>
          <w:rFonts w:ascii="Arial" w:hAnsi="Arial" w:cs="Arial"/>
        </w:rPr>
        <w:t xml:space="preserve">The second criterion was that the case study sought to address racism and aimed to </w:t>
      </w:r>
      <w:r w:rsidR="00934B9D">
        <w:rPr>
          <w:rFonts w:ascii="Arial" w:hAnsi="Arial" w:cs="Arial"/>
        </w:rPr>
        <w:t>address the issues</w:t>
      </w:r>
      <w:r w:rsidRPr="00487A6A">
        <w:rPr>
          <w:rFonts w:ascii="Arial" w:hAnsi="Arial" w:cs="Arial"/>
        </w:rPr>
        <w:t xml:space="preserve">. In Australia, the central focus on the Aboriginal Community Controlled </w:t>
      </w:r>
      <w:r w:rsidR="00640E5F" w:rsidRPr="00487A6A">
        <w:rPr>
          <w:rFonts w:ascii="Arial" w:hAnsi="Arial" w:cs="Arial"/>
        </w:rPr>
        <w:t>Health Service (ACCHS) was to provide a resource for Aboriginals to seek care regarding health needs, but also provided other services to address other social determinants of health. Additionally, BC’s model although not explicit, provides a step-by-step process in which racism can be addressed</w:t>
      </w:r>
      <w:r w:rsidR="00934B9D">
        <w:rPr>
          <w:rFonts w:ascii="Arial" w:hAnsi="Arial" w:cs="Arial"/>
        </w:rPr>
        <w:t xml:space="preserve">. </w:t>
      </w:r>
      <w:r w:rsidR="00640E5F" w:rsidRPr="00487A6A">
        <w:rPr>
          <w:rFonts w:ascii="Arial" w:hAnsi="Arial" w:cs="Arial"/>
        </w:rPr>
        <w:t xml:space="preserve">For these reasons, Australia and BC were chosen as they each set to address systemic racism through cultural organizations and change frameworks. </w:t>
      </w:r>
    </w:p>
    <w:p w14:paraId="4D7D5702" w14:textId="6C68D5E0" w:rsidR="005C439F" w:rsidRPr="00487A6A" w:rsidRDefault="005C439F" w:rsidP="005C439F">
      <w:pPr>
        <w:pStyle w:val="Heading1"/>
        <w:rPr>
          <w:rFonts w:ascii="Arial" w:hAnsi="Arial" w:cs="Arial"/>
        </w:rPr>
      </w:pPr>
      <w:r w:rsidRPr="00487A6A">
        <w:rPr>
          <w:rFonts w:ascii="Arial" w:hAnsi="Arial" w:cs="Arial"/>
        </w:rPr>
        <w:lastRenderedPageBreak/>
        <w:t>Case Studies</w:t>
      </w:r>
    </w:p>
    <w:p w14:paraId="3E54E17D" w14:textId="5C339649" w:rsidR="008E2023" w:rsidRDefault="005C439F" w:rsidP="00BA28D5">
      <w:pPr>
        <w:pStyle w:val="Heading2"/>
        <w:rPr>
          <w:rFonts w:ascii="Arial" w:hAnsi="Arial" w:cs="Arial"/>
          <w:sz w:val="28"/>
          <w:szCs w:val="28"/>
        </w:rPr>
      </w:pPr>
      <w:r w:rsidRPr="00487A6A">
        <w:rPr>
          <w:rFonts w:ascii="Arial" w:hAnsi="Arial" w:cs="Arial"/>
          <w:sz w:val="28"/>
          <w:szCs w:val="28"/>
        </w:rPr>
        <w:t xml:space="preserve">Australia -  </w:t>
      </w:r>
      <w:r w:rsidR="00224A3D" w:rsidRPr="00487A6A">
        <w:rPr>
          <w:rFonts w:ascii="Arial" w:hAnsi="Arial" w:cs="Arial"/>
          <w:sz w:val="28"/>
          <w:szCs w:val="28"/>
        </w:rPr>
        <w:t xml:space="preserve">Aboriginal Community Controlled Health Services (ACCHS) </w:t>
      </w:r>
    </w:p>
    <w:p w14:paraId="42195FA9" w14:textId="77777777" w:rsidR="00934B9D" w:rsidRPr="00BB67F9" w:rsidRDefault="00934B9D" w:rsidP="00BB67F9"/>
    <w:p w14:paraId="5D7F0370" w14:textId="747F464B" w:rsidR="00224A3D" w:rsidRPr="00487A6A" w:rsidRDefault="00C6015C" w:rsidP="00235D22">
      <w:pPr>
        <w:spacing w:line="480" w:lineRule="auto"/>
        <w:ind w:firstLine="720"/>
        <w:rPr>
          <w:rFonts w:ascii="Arial" w:hAnsi="Arial" w:cs="Arial"/>
        </w:rPr>
      </w:pPr>
      <w:r w:rsidRPr="00487A6A">
        <w:rPr>
          <w:rFonts w:ascii="Arial" w:hAnsi="Arial" w:cs="Arial"/>
        </w:rPr>
        <w:t>Established in 1971, and w</w:t>
      </w:r>
      <w:r w:rsidR="00224A3D" w:rsidRPr="00487A6A">
        <w:rPr>
          <w:rFonts w:ascii="Arial" w:hAnsi="Arial" w:cs="Arial"/>
        </w:rPr>
        <w:t>ith a primary focus on prevention and early intervention, the ACCHS works to build healthier Aboriginal communities (</w:t>
      </w:r>
      <w:r w:rsidR="00401454" w:rsidRPr="00487A6A">
        <w:rPr>
          <w:rFonts w:ascii="Arial" w:hAnsi="Arial" w:cs="Arial"/>
        </w:rPr>
        <w:t>Aboriginal Health &amp; Medical Research Council, 2015</w:t>
      </w:r>
      <w:r w:rsidR="00224A3D" w:rsidRPr="00487A6A">
        <w:rPr>
          <w:rFonts w:ascii="Arial" w:hAnsi="Arial" w:cs="Arial"/>
        </w:rPr>
        <w:t>)</w:t>
      </w:r>
      <w:r w:rsidR="00401454" w:rsidRPr="00487A6A">
        <w:rPr>
          <w:rFonts w:ascii="Arial" w:hAnsi="Arial" w:cs="Arial"/>
        </w:rPr>
        <w:t>.</w:t>
      </w:r>
      <w:r w:rsidR="00235D22" w:rsidRPr="00487A6A">
        <w:rPr>
          <w:rFonts w:ascii="Arial" w:hAnsi="Arial" w:cs="Arial"/>
        </w:rPr>
        <w:t xml:space="preserve"> ACCHS is a form of primary health care </w:t>
      </w:r>
      <w:r w:rsidR="00E82E69">
        <w:rPr>
          <w:rFonts w:ascii="Arial" w:hAnsi="Arial" w:cs="Arial"/>
        </w:rPr>
        <w:t xml:space="preserve">service </w:t>
      </w:r>
      <w:r w:rsidR="00235D22" w:rsidRPr="00487A6A">
        <w:rPr>
          <w:rFonts w:ascii="Arial" w:hAnsi="Arial" w:cs="Arial"/>
        </w:rPr>
        <w:t>operated by Aboriginal communities within a local area (</w:t>
      </w:r>
      <w:proofErr w:type="spellStart"/>
      <w:r w:rsidR="005F2D0B" w:rsidRPr="00487A6A">
        <w:rPr>
          <w:rFonts w:ascii="Arial" w:hAnsi="Arial" w:cs="Arial"/>
          <w:color w:val="000000"/>
          <w:shd w:val="clear" w:color="auto" w:fill="FFFFFF"/>
        </w:rPr>
        <w:t>Panaretto</w:t>
      </w:r>
      <w:proofErr w:type="spellEnd"/>
      <w:r w:rsidR="005F2D0B" w:rsidRPr="00487A6A">
        <w:rPr>
          <w:rFonts w:ascii="Arial" w:hAnsi="Arial" w:cs="Arial"/>
          <w:color w:val="000000"/>
          <w:shd w:val="clear" w:color="auto" w:fill="FFFFFF"/>
        </w:rPr>
        <w:t xml:space="preserve"> et al.</w:t>
      </w:r>
      <w:r w:rsidR="005F2D0B" w:rsidRPr="00487A6A">
        <w:rPr>
          <w:rFonts w:ascii="Arial" w:hAnsi="Arial" w:cs="Arial"/>
        </w:rPr>
        <w:t>,</w:t>
      </w:r>
      <w:r w:rsidR="00401454" w:rsidRPr="00487A6A">
        <w:rPr>
          <w:rFonts w:ascii="Arial" w:hAnsi="Arial" w:cs="Arial"/>
        </w:rPr>
        <w:t xml:space="preserve"> 2014</w:t>
      </w:r>
      <w:r w:rsidR="00235D22" w:rsidRPr="00487A6A">
        <w:rPr>
          <w:rFonts w:ascii="Arial" w:hAnsi="Arial" w:cs="Arial"/>
        </w:rPr>
        <w:t xml:space="preserve">). They provide holistic and culturally appropriate care to the specific community, and work with the patient to support them through various social factors </w:t>
      </w:r>
      <w:r w:rsidR="00E82E69">
        <w:rPr>
          <w:rFonts w:ascii="Arial" w:hAnsi="Arial" w:cs="Arial"/>
        </w:rPr>
        <w:t>including</w:t>
      </w:r>
      <w:r w:rsidR="00235D22" w:rsidRPr="00487A6A">
        <w:rPr>
          <w:rFonts w:ascii="Arial" w:hAnsi="Arial" w:cs="Arial"/>
        </w:rPr>
        <w:t xml:space="preserve"> racism (</w:t>
      </w:r>
      <w:r w:rsidR="005F2D0B" w:rsidRPr="00487A6A">
        <w:rPr>
          <w:rFonts w:ascii="Arial" w:hAnsi="Arial" w:cs="Arial"/>
          <w:color w:val="000000"/>
          <w:shd w:val="clear" w:color="auto" w:fill="FFFFFF"/>
        </w:rPr>
        <w:t>Pearson et al.</w:t>
      </w:r>
      <w:r w:rsidR="00235D22" w:rsidRPr="00487A6A">
        <w:rPr>
          <w:rFonts w:ascii="Arial" w:hAnsi="Arial" w:cs="Arial"/>
        </w:rPr>
        <w:t xml:space="preserve">, 2020). The ACCHS is a </w:t>
      </w:r>
      <w:r w:rsidR="003728D2" w:rsidRPr="00487A6A">
        <w:rPr>
          <w:rFonts w:ascii="Arial" w:hAnsi="Arial" w:cs="Arial"/>
        </w:rPr>
        <w:t>team-based</w:t>
      </w:r>
      <w:r w:rsidR="00235D22" w:rsidRPr="00487A6A">
        <w:rPr>
          <w:rFonts w:ascii="Arial" w:hAnsi="Arial" w:cs="Arial"/>
        </w:rPr>
        <w:t xml:space="preserve"> model providing </w:t>
      </w:r>
      <w:r w:rsidR="00E82E69">
        <w:rPr>
          <w:rFonts w:ascii="Arial" w:hAnsi="Arial" w:cs="Arial"/>
        </w:rPr>
        <w:t xml:space="preserve">culturally appropriate </w:t>
      </w:r>
      <w:r w:rsidR="00235D22" w:rsidRPr="00487A6A">
        <w:rPr>
          <w:rFonts w:ascii="Arial" w:hAnsi="Arial" w:cs="Arial"/>
        </w:rPr>
        <w:t>patient centered care (</w:t>
      </w:r>
      <w:proofErr w:type="spellStart"/>
      <w:r w:rsidR="005F2D0B" w:rsidRPr="00487A6A">
        <w:rPr>
          <w:rFonts w:ascii="Arial" w:hAnsi="Arial" w:cs="Arial"/>
          <w:color w:val="000000"/>
          <w:shd w:val="clear" w:color="auto" w:fill="FFFFFF"/>
        </w:rPr>
        <w:t>Panaretto</w:t>
      </w:r>
      <w:proofErr w:type="spellEnd"/>
      <w:r w:rsidR="005F2D0B" w:rsidRPr="00487A6A">
        <w:rPr>
          <w:rFonts w:ascii="Arial" w:hAnsi="Arial" w:cs="Arial"/>
          <w:color w:val="000000"/>
          <w:shd w:val="clear" w:color="auto" w:fill="FFFFFF"/>
        </w:rPr>
        <w:t xml:space="preserve"> et al.</w:t>
      </w:r>
      <w:r w:rsidR="00401454" w:rsidRPr="00487A6A">
        <w:rPr>
          <w:rFonts w:ascii="Arial" w:hAnsi="Arial" w:cs="Arial"/>
        </w:rPr>
        <w:t>, 2014</w:t>
      </w:r>
      <w:r w:rsidR="00235D22" w:rsidRPr="00487A6A">
        <w:rPr>
          <w:rFonts w:ascii="Arial" w:hAnsi="Arial" w:cs="Arial"/>
        </w:rPr>
        <w:t>). Ultimately, the ACCHS utilize</w:t>
      </w:r>
      <w:r w:rsidR="00E82E69">
        <w:rPr>
          <w:rFonts w:ascii="Arial" w:hAnsi="Arial" w:cs="Arial"/>
        </w:rPr>
        <w:t>s</w:t>
      </w:r>
      <w:r w:rsidR="00235D22" w:rsidRPr="00487A6A">
        <w:rPr>
          <w:rFonts w:ascii="Arial" w:hAnsi="Arial" w:cs="Arial"/>
        </w:rPr>
        <w:t xml:space="preserve"> advocacy, community collaborations, community empowerment, and more to address and improve the communities in which they operate (</w:t>
      </w:r>
      <w:r w:rsidR="005F2D0B" w:rsidRPr="00487A6A">
        <w:rPr>
          <w:rFonts w:ascii="Arial" w:hAnsi="Arial" w:cs="Arial"/>
          <w:color w:val="000000"/>
          <w:shd w:val="clear" w:color="auto" w:fill="FFFFFF"/>
        </w:rPr>
        <w:t>Pearson et al.</w:t>
      </w:r>
      <w:r w:rsidR="00235D22" w:rsidRPr="00487A6A">
        <w:rPr>
          <w:rFonts w:ascii="Arial" w:hAnsi="Arial" w:cs="Arial"/>
        </w:rPr>
        <w:t>, 2020</w:t>
      </w:r>
      <w:r w:rsidR="00401454" w:rsidRPr="00487A6A">
        <w:rPr>
          <w:rFonts w:ascii="Arial" w:hAnsi="Arial" w:cs="Arial"/>
        </w:rPr>
        <w:t>)</w:t>
      </w:r>
      <w:r w:rsidR="00640E5F" w:rsidRPr="00487A6A">
        <w:rPr>
          <w:rFonts w:ascii="Arial" w:hAnsi="Arial" w:cs="Arial"/>
        </w:rPr>
        <w:t xml:space="preserve">. </w:t>
      </w:r>
      <w:r w:rsidR="00235D22" w:rsidRPr="00487A6A">
        <w:rPr>
          <w:rFonts w:ascii="Arial" w:hAnsi="Arial" w:cs="Arial"/>
        </w:rPr>
        <w:t>Rather than a traditional way of dealing with health needs via clinics, the ACCHS offers a community space where Indigenous peoples can address their needs (</w:t>
      </w:r>
      <w:r w:rsidR="005F2D0B" w:rsidRPr="00487A6A">
        <w:rPr>
          <w:rFonts w:ascii="Arial" w:hAnsi="Arial" w:cs="Arial"/>
          <w:color w:val="000000"/>
          <w:shd w:val="clear" w:color="auto" w:fill="FFFFFF"/>
        </w:rPr>
        <w:t>Pearson</w:t>
      </w:r>
      <w:r w:rsidR="005F2D0B" w:rsidRPr="00487A6A">
        <w:rPr>
          <w:rFonts w:ascii="Arial" w:hAnsi="Arial" w:cs="Arial"/>
        </w:rPr>
        <w:t xml:space="preserve">  et al., </w:t>
      </w:r>
      <w:r w:rsidR="00235D22" w:rsidRPr="00487A6A">
        <w:rPr>
          <w:rFonts w:ascii="Arial" w:hAnsi="Arial" w:cs="Arial"/>
        </w:rPr>
        <w:t>2020). ACCHS also work to address elements other than health needs such as providing programs to increase education</w:t>
      </w:r>
      <w:r w:rsidRPr="00487A6A">
        <w:rPr>
          <w:rFonts w:ascii="Arial" w:hAnsi="Arial" w:cs="Arial"/>
        </w:rPr>
        <w:t xml:space="preserve"> and employment </w:t>
      </w:r>
      <w:r w:rsidR="00401454" w:rsidRPr="00487A6A">
        <w:rPr>
          <w:rFonts w:ascii="Arial" w:hAnsi="Arial" w:cs="Arial"/>
        </w:rPr>
        <w:t>opportunities</w:t>
      </w:r>
      <w:r w:rsidRPr="00487A6A">
        <w:rPr>
          <w:rFonts w:ascii="Arial" w:hAnsi="Arial" w:cs="Arial"/>
        </w:rPr>
        <w:t xml:space="preserve"> </w:t>
      </w:r>
      <w:r w:rsidR="00235D22" w:rsidRPr="00487A6A">
        <w:rPr>
          <w:rFonts w:ascii="Arial" w:hAnsi="Arial" w:cs="Arial"/>
        </w:rPr>
        <w:t>(</w:t>
      </w:r>
      <w:r w:rsidR="005F2D0B" w:rsidRPr="00487A6A">
        <w:rPr>
          <w:rFonts w:ascii="Arial" w:hAnsi="Arial" w:cs="Arial"/>
          <w:color w:val="000000"/>
          <w:shd w:val="clear" w:color="auto" w:fill="FFFFFF"/>
        </w:rPr>
        <w:t>Pearson et al.</w:t>
      </w:r>
      <w:r w:rsidR="00235D22" w:rsidRPr="00487A6A">
        <w:rPr>
          <w:rFonts w:ascii="Arial" w:hAnsi="Arial" w:cs="Arial"/>
        </w:rPr>
        <w:t>, 2020</w:t>
      </w:r>
      <w:r w:rsidRPr="00487A6A">
        <w:rPr>
          <w:rFonts w:ascii="Arial" w:hAnsi="Arial" w:cs="Arial"/>
        </w:rPr>
        <w:t xml:space="preserve">; </w:t>
      </w:r>
      <w:proofErr w:type="spellStart"/>
      <w:r w:rsidR="005F2D0B" w:rsidRPr="00487A6A">
        <w:rPr>
          <w:rFonts w:ascii="Arial" w:hAnsi="Arial" w:cs="Arial"/>
          <w:color w:val="000000"/>
          <w:shd w:val="clear" w:color="auto" w:fill="FFFFFF"/>
        </w:rPr>
        <w:t>Panaretto</w:t>
      </w:r>
      <w:proofErr w:type="spellEnd"/>
      <w:r w:rsidR="005F2D0B" w:rsidRPr="00487A6A">
        <w:rPr>
          <w:rFonts w:ascii="Arial" w:hAnsi="Arial" w:cs="Arial"/>
          <w:color w:val="000000"/>
          <w:shd w:val="clear" w:color="auto" w:fill="FFFFFF"/>
        </w:rPr>
        <w:t xml:space="preserve"> et al., 2014</w:t>
      </w:r>
      <w:r w:rsidR="00235D22" w:rsidRPr="00487A6A">
        <w:rPr>
          <w:rFonts w:ascii="Arial" w:hAnsi="Arial" w:cs="Arial"/>
        </w:rPr>
        <w:t xml:space="preserve">). </w:t>
      </w:r>
    </w:p>
    <w:p w14:paraId="10889994" w14:textId="45BF39B4" w:rsidR="00A01300" w:rsidRPr="00487A6A" w:rsidRDefault="00A01300" w:rsidP="00235D22">
      <w:pPr>
        <w:spacing w:line="480" w:lineRule="auto"/>
        <w:ind w:firstLine="720"/>
        <w:rPr>
          <w:rFonts w:ascii="Arial" w:hAnsi="Arial" w:cs="Arial"/>
        </w:rPr>
      </w:pPr>
      <w:r w:rsidRPr="00487A6A">
        <w:rPr>
          <w:rFonts w:ascii="Arial" w:hAnsi="Arial" w:cs="Arial"/>
        </w:rPr>
        <w:t>The workforce of this service includes specific Aboriginal Health Workers, who also work with non-Aboriginal health care providers to understand the level of care needed and how to communicate better</w:t>
      </w:r>
      <w:r w:rsidR="007962E0">
        <w:rPr>
          <w:rFonts w:ascii="Arial" w:hAnsi="Arial" w:cs="Arial"/>
        </w:rPr>
        <w:t xml:space="preserve"> with patients</w:t>
      </w:r>
      <w:r w:rsidRPr="00487A6A">
        <w:rPr>
          <w:rFonts w:ascii="Arial" w:hAnsi="Arial" w:cs="Arial"/>
        </w:rPr>
        <w:t xml:space="preserve"> (</w:t>
      </w:r>
      <w:r w:rsidR="003E563C" w:rsidRPr="00487A6A">
        <w:rPr>
          <w:rFonts w:ascii="Arial" w:hAnsi="Arial" w:cs="Arial"/>
        </w:rPr>
        <w:t>Aboriginal Health &amp; Medical Research Council, 2015)</w:t>
      </w:r>
      <w:r w:rsidRPr="00487A6A">
        <w:rPr>
          <w:rFonts w:ascii="Arial" w:hAnsi="Arial" w:cs="Arial"/>
        </w:rPr>
        <w:t>. Additionally, the ACCHS provides opportunities to its employees to engage in cultural mentoring to non-Aboriginal health professionals or health promotion roles (</w:t>
      </w:r>
      <w:r w:rsidR="003E563C" w:rsidRPr="00487A6A">
        <w:rPr>
          <w:rFonts w:ascii="Arial" w:hAnsi="Arial" w:cs="Arial"/>
        </w:rPr>
        <w:t>Aboriginal Health &amp; Medical Research Council, 2015).</w:t>
      </w:r>
    </w:p>
    <w:p w14:paraId="1F47D3B2" w14:textId="17642BA8" w:rsidR="00573C27" w:rsidRPr="00487A6A" w:rsidRDefault="00573C27" w:rsidP="00235D22">
      <w:pPr>
        <w:spacing w:line="480" w:lineRule="auto"/>
        <w:ind w:firstLine="720"/>
        <w:rPr>
          <w:rFonts w:ascii="Arial" w:hAnsi="Arial" w:cs="Arial"/>
        </w:rPr>
      </w:pPr>
      <w:r w:rsidRPr="00487A6A">
        <w:rPr>
          <w:rFonts w:ascii="Arial" w:hAnsi="Arial" w:cs="Arial"/>
        </w:rPr>
        <w:lastRenderedPageBreak/>
        <w:t>To ensure the proper functioning and success of the service, local Aboriginal communities elect a board of directors to oversee the service and ensure accountability (</w:t>
      </w:r>
      <w:r w:rsidR="00640E5F" w:rsidRPr="00487A6A">
        <w:rPr>
          <w:rFonts w:ascii="Arial" w:hAnsi="Arial" w:cs="Arial"/>
        </w:rPr>
        <w:t>Aboriginal Health &amp; Medical Research Council, 2015</w:t>
      </w:r>
      <w:r w:rsidRPr="00487A6A">
        <w:rPr>
          <w:rFonts w:ascii="Arial" w:hAnsi="Arial" w:cs="Arial"/>
        </w:rPr>
        <w:t>). Each community service differs in its amount of funding, size, infrastructure, workforce and more (</w:t>
      </w:r>
      <w:r w:rsidR="00435FF6" w:rsidRPr="00487A6A">
        <w:rPr>
          <w:rFonts w:ascii="Arial" w:hAnsi="Arial" w:cs="Arial"/>
        </w:rPr>
        <w:t>Aboriginal Health &amp; Medical Research Council, 2015</w:t>
      </w:r>
      <w:r w:rsidRPr="00487A6A">
        <w:rPr>
          <w:rFonts w:ascii="Arial" w:hAnsi="Arial" w:cs="Arial"/>
        </w:rPr>
        <w:t>). Additionally, the types of services offered are all dependent upon the community the service is operated within, emphasizing again</w:t>
      </w:r>
      <w:r w:rsidR="00E82E69">
        <w:rPr>
          <w:rFonts w:ascii="Arial" w:hAnsi="Arial" w:cs="Arial"/>
        </w:rPr>
        <w:t>,</w:t>
      </w:r>
      <w:r w:rsidRPr="00487A6A">
        <w:rPr>
          <w:rFonts w:ascii="Arial" w:hAnsi="Arial" w:cs="Arial"/>
        </w:rPr>
        <w:t xml:space="preserve"> community focused, culturally appropriate care (</w:t>
      </w:r>
      <w:r w:rsidR="000073DB" w:rsidRPr="00487A6A">
        <w:rPr>
          <w:rFonts w:ascii="Arial" w:hAnsi="Arial" w:cs="Arial"/>
        </w:rPr>
        <w:t>Aboriginal Health &amp; Medical Research Council, 2015</w:t>
      </w:r>
      <w:r w:rsidRPr="00487A6A">
        <w:rPr>
          <w:rFonts w:ascii="Arial" w:hAnsi="Arial" w:cs="Arial"/>
        </w:rPr>
        <w:t>)</w:t>
      </w:r>
      <w:r w:rsidR="00A01300" w:rsidRPr="00487A6A">
        <w:rPr>
          <w:rFonts w:ascii="Arial" w:hAnsi="Arial" w:cs="Arial"/>
        </w:rPr>
        <w:t xml:space="preserve">. </w:t>
      </w:r>
    </w:p>
    <w:p w14:paraId="3A966F3A" w14:textId="375E7F1B" w:rsidR="00303100" w:rsidRPr="00487A6A" w:rsidRDefault="00535E81" w:rsidP="00BA28D5">
      <w:pPr>
        <w:pStyle w:val="Heading2"/>
        <w:rPr>
          <w:rFonts w:ascii="Arial" w:hAnsi="Arial" w:cs="Arial"/>
          <w:sz w:val="28"/>
          <w:szCs w:val="28"/>
        </w:rPr>
      </w:pPr>
      <w:r w:rsidRPr="00487A6A">
        <w:rPr>
          <w:rFonts w:ascii="Arial" w:hAnsi="Arial" w:cs="Arial"/>
          <w:sz w:val="28"/>
          <w:szCs w:val="28"/>
        </w:rPr>
        <w:t xml:space="preserve">British Columbia – Six Stages of Change model </w:t>
      </w:r>
    </w:p>
    <w:p w14:paraId="5885B690" w14:textId="2AF80833" w:rsidR="004551C2" w:rsidRPr="00487A6A" w:rsidRDefault="00921C97" w:rsidP="004551C2">
      <w:pPr>
        <w:spacing w:line="480" w:lineRule="auto"/>
        <w:ind w:firstLine="720"/>
        <w:rPr>
          <w:rFonts w:ascii="Arial" w:hAnsi="Arial" w:cs="Arial"/>
        </w:rPr>
      </w:pPr>
      <w:r w:rsidRPr="00487A6A">
        <w:rPr>
          <w:rFonts w:ascii="Arial" w:hAnsi="Arial" w:cs="Arial"/>
        </w:rPr>
        <w:t xml:space="preserve">The Affiliation of Multicultural Societies and Service Agencies of </w:t>
      </w:r>
      <w:r w:rsidR="00535E81" w:rsidRPr="00487A6A">
        <w:rPr>
          <w:rFonts w:ascii="Arial" w:hAnsi="Arial" w:cs="Arial"/>
        </w:rPr>
        <w:t>British Columbia has developed</w:t>
      </w:r>
      <w:r w:rsidR="00E82E69">
        <w:rPr>
          <w:rFonts w:ascii="Arial" w:hAnsi="Arial" w:cs="Arial"/>
        </w:rPr>
        <w:t>,</w:t>
      </w:r>
      <w:r w:rsidR="00535E81" w:rsidRPr="00487A6A">
        <w:rPr>
          <w:rFonts w:ascii="Arial" w:hAnsi="Arial" w:cs="Arial"/>
        </w:rPr>
        <w:t xml:space="preserve"> as part of their long-term anti-racist strategy</w:t>
      </w:r>
      <w:r w:rsidR="00E82E69">
        <w:rPr>
          <w:rFonts w:ascii="Arial" w:hAnsi="Arial" w:cs="Arial"/>
        </w:rPr>
        <w:t>,</w:t>
      </w:r>
      <w:r w:rsidR="00535E81" w:rsidRPr="00487A6A">
        <w:rPr>
          <w:rFonts w:ascii="Arial" w:hAnsi="Arial" w:cs="Arial"/>
        </w:rPr>
        <w:t xml:space="preserve"> a model of change that aims to address</w:t>
      </w:r>
      <w:r w:rsidR="00E82E69">
        <w:rPr>
          <w:rFonts w:ascii="Arial" w:hAnsi="Arial" w:cs="Arial"/>
        </w:rPr>
        <w:t xml:space="preserve"> the systematic deficiencies within</w:t>
      </w:r>
      <w:r w:rsidR="00535E81" w:rsidRPr="00487A6A">
        <w:rPr>
          <w:rFonts w:ascii="Arial" w:hAnsi="Arial" w:cs="Arial"/>
        </w:rPr>
        <w:t xml:space="preserve"> the </w:t>
      </w:r>
      <w:r w:rsidRPr="00487A6A">
        <w:rPr>
          <w:rFonts w:ascii="Arial" w:hAnsi="Arial" w:cs="Arial"/>
        </w:rPr>
        <w:t>long-term</w:t>
      </w:r>
      <w:r w:rsidR="00535E81" w:rsidRPr="00487A6A">
        <w:rPr>
          <w:rFonts w:ascii="Arial" w:hAnsi="Arial" w:cs="Arial"/>
        </w:rPr>
        <w:t xml:space="preserve"> care </w:t>
      </w:r>
      <w:r w:rsidR="00E82E69">
        <w:rPr>
          <w:rFonts w:ascii="Arial" w:hAnsi="Arial" w:cs="Arial"/>
        </w:rPr>
        <w:t>homes</w:t>
      </w:r>
      <w:r w:rsidR="00535E81" w:rsidRPr="00487A6A">
        <w:rPr>
          <w:rFonts w:ascii="Arial" w:hAnsi="Arial" w:cs="Arial"/>
        </w:rPr>
        <w:t xml:space="preserve">. </w:t>
      </w:r>
      <w:r w:rsidR="00E82E69">
        <w:rPr>
          <w:rFonts w:ascii="Arial" w:hAnsi="Arial" w:cs="Arial"/>
        </w:rPr>
        <w:t xml:space="preserve">According to the </w:t>
      </w:r>
      <w:r w:rsidR="00E82E69" w:rsidRPr="00487A6A">
        <w:rPr>
          <w:rFonts w:ascii="Arial" w:hAnsi="Arial" w:cs="Arial"/>
        </w:rPr>
        <w:t>Affiliation of Multicultural Societies and Service Agencies of BC</w:t>
      </w:r>
      <w:r w:rsidR="00E82E69">
        <w:rPr>
          <w:rFonts w:ascii="Arial" w:hAnsi="Arial" w:cs="Arial"/>
        </w:rPr>
        <w:t xml:space="preserve"> (</w:t>
      </w:r>
      <w:r w:rsidR="00E82E69" w:rsidRPr="00487A6A">
        <w:rPr>
          <w:rFonts w:ascii="Arial" w:hAnsi="Arial" w:cs="Arial"/>
        </w:rPr>
        <w:t>2001</w:t>
      </w:r>
      <w:r w:rsidR="00E82E69">
        <w:rPr>
          <w:rFonts w:ascii="Arial" w:hAnsi="Arial" w:cs="Arial"/>
        </w:rPr>
        <w:t>), t</w:t>
      </w:r>
      <w:r w:rsidR="00535E81" w:rsidRPr="00487A6A">
        <w:rPr>
          <w:rFonts w:ascii="Arial" w:hAnsi="Arial" w:cs="Arial"/>
        </w:rPr>
        <w:t xml:space="preserve">he model </w:t>
      </w:r>
      <w:r w:rsidRPr="00487A6A">
        <w:rPr>
          <w:rFonts w:ascii="Arial" w:hAnsi="Arial" w:cs="Arial"/>
        </w:rPr>
        <w:t>includes</w:t>
      </w:r>
      <w:r w:rsidR="00535E81" w:rsidRPr="00487A6A">
        <w:rPr>
          <w:rFonts w:ascii="Arial" w:hAnsi="Arial" w:cs="Arial"/>
        </w:rPr>
        <w:t xml:space="preserve"> a </w:t>
      </w:r>
      <w:r w:rsidRPr="00487A6A">
        <w:rPr>
          <w:rFonts w:ascii="Arial" w:hAnsi="Arial" w:cs="Arial"/>
        </w:rPr>
        <w:t>six-step</w:t>
      </w:r>
      <w:r w:rsidR="00535E81" w:rsidRPr="00487A6A">
        <w:rPr>
          <w:rFonts w:ascii="Arial" w:hAnsi="Arial" w:cs="Arial"/>
        </w:rPr>
        <w:t xml:space="preserve"> process</w:t>
      </w:r>
      <w:r w:rsidR="00E82E69">
        <w:rPr>
          <w:rFonts w:ascii="Arial" w:hAnsi="Arial" w:cs="Arial"/>
        </w:rPr>
        <w:t>:</w:t>
      </w:r>
      <w:r w:rsidR="00535E81" w:rsidRPr="00487A6A">
        <w:rPr>
          <w:rFonts w:ascii="Arial" w:hAnsi="Arial" w:cs="Arial"/>
        </w:rPr>
        <w:t xml:space="preserve"> why change, addressing the situation, setting goals, making a plan, implementation, and evaluation</w:t>
      </w:r>
      <w:r w:rsidR="004551C2" w:rsidRPr="00487A6A">
        <w:rPr>
          <w:rFonts w:ascii="Arial" w:hAnsi="Arial" w:cs="Arial"/>
        </w:rPr>
        <w:t xml:space="preserve"> (</w:t>
      </w:r>
      <w:r w:rsidR="00E82E69">
        <w:rPr>
          <w:rFonts w:ascii="Arial" w:hAnsi="Arial" w:cs="Arial"/>
        </w:rPr>
        <w:t>Appendix A</w:t>
      </w:r>
      <w:r w:rsidR="004551C2" w:rsidRPr="00487A6A">
        <w:rPr>
          <w:rFonts w:ascii="Arial" w:hAnsi="Arial" w:cs="Arial"/>
        </w:rPr>
        <w:t>)</w:t>
      </w:r>
      <w:r w:rsidR="00535E81" w:rsidRPr="00487A6A">
        <w:rPr>
          <w:rFonts w:ascii="Arial" w:hAnsi="Arial" w:cs="Arial"/>
        </w:rPr>
        <w:t xml:space="preserve">. The model is not linear in that it can have many different </w:t>
      </w:r>
      <w:r w:rsidRPr="00487A6A">
        <w:rPr>
          <w:rFonts w:ascii="Arial" w:hAnsi="Arial" w:cs="Arial"/>
        </w:rPr>
        <w:t>routes and</w:t>
      </w:r>
      <w:r w:rsidR="00535E81" w:rsidRPr="00487A6A">
        <w:rPr>
          <w:rFonts w:ascii="Arial" w:hAnsi="Arial" w:cs="Arial"/>
        </w:rPr>
        <w:t xml:space="preserve"> can involve returning back to some steps. </w:t>
      </w:r>
    </w:p>
    <w:p w14:paraId="1D61CEC8" w14:textId="22140F8B" w:rsidR="00BB0B33" w:rsidRPr="00487A6A" w:rsidRDefault="00BB0B33" w:rsidP="005C439F">
      <w:pPr>
        <w:spacing w:line="480" w:lineRule="auto"/>
        <w:rPr>
          <w:rFonts w:ascii="Arial" w:hAnsi="Arial" w:cs="Arial"/>
        </w:rPr>
      </w:pPr>
      <w:r w:rsidRPr="00487A6A">
        <w:rPr>
          <w:rFonts w:ascii="Arial" w:hAnsi="Arial" w:cs="Arial"/>
        </w:rPr>
        <w:tab/>
        <w:t>The model</w:t>
      </w:r>
      <w:r w:rsidR="0058485E" w:rsidRPr="00487A6A">
        <w:rPr>
          <w:rFonts w:ascii="Arial" w:hAnsi="Arial" w:cs="Arial"/>
        </w:rPr>
        <w:t xml:space="preserve"> (see Appendix A)</w:t>
      </w:r>
      <w:r w:rsidRPr="00487A6A">
        <w:rPr>
          <w:rFonts w:ascii="Arial" w:hAnsi="Arial" w:cs="Arial"/>
        </w:rPr>
        <w:t xml:space="preserve"> begins with understanding the core group who is impacted and why there is a need for change. </w:t>
      </w:r>
      <w:r w:rsidR="00344926" w:rsidRPr="00487A6A">
        <w:rPr>
          <w:rFonts w:ascii="Arial" w:hAnsi="Arial" w:cs="Arial"/>
        </w:rPr>
        <w:t xml:space="preserve">Stakeholder gathering is also </w:t>
      </w:r>
      <w:r w:rsidR="00921C97" w:rsidRPr="00487A6A">
        <w:rPr>
          <w:rFonts w:ascii="Arial" w:hAnsi="Arial" w:cs="Arial"/>
        </w:rPr>
        <w:t>a part</w:t>
      </w:r>
      <w:r w:rsidR="00344926" w:rsidRPr="00487A6A">
        <w:rPr>
          <w:rFonts w:ascii="Arial" w:hAnsi="Arial" w:cs="Arial"/>
        </w:rPr>
        <w:t xml:space="preserve"> of the first stage ensuring community partners and organizations are aligned with implementing </w:t>
      </w:r>
      <w:r w:rsidR="003B05E6" w:rsidRPr="00487A6A">
        <w:rPr>
          <w:rFonts w:ascii="Arial" w:hAnsi="Arial" w:cs="Arial"/>
        </w:rPr>
        <w:t>change and</w:t>
      </w:r>
      <w:r w:rsidR="00344926" w:rsidRPr="00487A6A">
        <w:rPr>
          <w:rFonts w:ascii="Arial" w:hAnsi="Arial" w:cs="Arial"/>
        </w:rPr>
        <w:t xml:space="preserve"> are aware of the issues. Understanding the community, and the </w:t>
      </w:r>
      <w:r w:rsidR="003B05E6" w:rsidRPr="00487A6A">
        <w:rPr>
          <w:rFonts w:ascii="Arial" w:hAnsi="Arial" w:cs="Arial"/>
        </w:rPr>
        <w:t>community’s</w:t>
      </w:r>
      <w:r w:rsidR="00344926" w:rsidRPr="00487A6A">
        <w:rPr>
          <w:rFonts w:ascii="Arial" w:hAnsi="Arial" w:cs="Arial"/>
        </w:rPr>
        <w:t xml:space="preserve"> capacity is another element of the model</w:t>
      </w:r>
      <w:r w:rsidR="00E61A1C" w:rsidRPr="00487A6A">
        <w:rPr>
          <w:rFonts w:ascii="Arial" w:hAnsi="Arial" w:cs="Arial"/>
        </w:rPr>
        <w:t xml:space="preserve"> whereby individual communities are analyzed and needs are understood. Another aspect includes education as a way to understand the need for change and understanding the issue. </w:t>
      </w:r>
      <w:r w:rsidR="00E61A1C" w:rsidRPr="00487A6A">
        <w:rPr>
          <w:rFonts w:ascii="Arial" w:hAnsi="Arial" w:cs="Arial"/>
        </w:rPr>
        <w:lastRenderedPageBreak/>
        <w:t xml:space="preserve">The action plan stage includes developing clear goals, objectives, and implementation components and activities, outputs and outcomes – similar framework to Logic Models, or Theory of Change models. </w:t>
      </w:r>
      <w:r w:rsidR="00921C97" w:rsidRPr="00487A6A">
        <w:rPr>
          <w:rFonts w:ascii="Arial" w:hAnsi="Arial" w:cs="Arial"/>
        </w:rPr>
        <w:t xml:space="preserve">The last stage is evaluation where there is consistent monitoring of what is working and not working, where the process needs to change (whether that be in timelines or design), and when those changes should be implemented. </w:t>
      </w:r>
    </w:p>
    <w:p w14:paraId="7CE90421" w14:textId="7CF36A7A" w:rsidR="00BA28D5" w:rsidRPr="00487A6A" w:rsidRDefault="00BA28D5" w:rsidP="00BA28D5">
      <w:pPr>
        <w:pStyle w:val="Heading1"/>
        <w:rPr>
          <w:rFonts w:ascii="Arial" w:hAnsi="Arial" w:cs="Arial"/>
        </w:rPr>
      </w:pPr>
      <w:r w:rsidRPr="00487A6A">
        <w:rPr>
          <w:rFonts w:ascii="Arial" w:hAnsi="Arial" w:cs="Arial"/>
        </w:rPr>
        <w:t xml:space="preserve">Analysis </w:t>
      </w:r>
    </w:p>
    <w:p w14:paraId="6E463F6A" w14:textId="656D417A" w:rsidR="00401454" w:rsidRPr="00487A6A" w:rsidRDefault="00401454" w:rsidP="00FD269E">
      <w:pPr>
        <w:spacing w:line="480" w:lineRule="auto"/>
        <w:ind w:firstLine="720"/>
        <w:rPr>
          <w:rFonts w:ascii="Arial" w:hAnsi="Arial" w:cs="Arial"/>
        </w:rPr>
      </w:pPr>
      <w:r w:rsidRPr="00487A6A">
        <w:rPr>
          <w:rFonts w:ascii="Arial" w:hAnsi="Arial" w:cs="Arial"/>
        </w:rPr>
        <w:t>There are many lessons for Ontario to learn from both Australia and British Columbia. It is evident that a specific approach, or a one size fits all approach is the least effective</w:t>
      </w:r>
      <w:r w:rsidR="0072705C">
        <w:rPr>
          <w:rFonts w:ascii="Arial" w:hAnsi="Arial" w:cs="Arial"/>
        </w:rPr>
        <w:t>; hence,</w:t>
      </w:r>
      <w:r w:rsidRPr="00487A6A">
        <w:rPr>
          <w:rFonts w:ascii="Arial" w:hAnsi="Arial" w:cs="Arial"/>
        </w:rPr>
        <w:t xml:space="preserve"> the development of either dedicated services or a framework is the preferred course of action</w:t>
      </w:r>
      <w:r w:rsidR="0072705C">
        <w:rPr>
          <w:rFonts w:ascii="Arial" w:hAnsi="Arial" w:cs="Arial"/>
        </w:rPr>
        <w:t xml:space="preserve"> to address the underlying issues</w:t>
      </w:r>
      <w:r w:rsidRPr="00487A6A">
        <w:rPr>
          <w:rFonts w:ascii="Arial" w:hAnsi="Arial" w:cs="Arial"/>
        </w:rPr>
        <w:t xml:space="preserve">. Residents within long-term care homes are diverse, and often times </w:t>
      </w:r>
      <w:r w:rsidR="00335BFD">
        <w:rPr>
          <w:rFonts w:ascii="Arial" w:hAnsi="Arial" w:cs="Arial"/>
        </w:rPr>
        <w:t xml:space="preserve">BIPOC </w:t>
      </w:r>
      <w:r w:rsidRPr="00487A6A">
        <w:rPr>
          <w:rFonts w:ascii="Arial" w:hAnsi="Arial" w:cs="Arial"/>
        </w:rPr>
        <w:t>are underrepresented in these communities, especially for profit and religiously sponsored communities (Nichols, 2020). The ACCHS provides Ontario with a pre-existing organizational framework in which it can model a new culturally representative organization</w:t>
      </w:r>
      <w:r w:rsidR="00B1367F" w:rsidRPr="00487A6A">
        <w:rPr>
          <w:rFonts w:ascii="Arial" w:hAnsi="Arial" w:cs="Arial"/>
        </w:rPr>
        <w:t>s across Ontario</w:t>
      </w:r>
      <w:r w:rsidRPr="00487A6A">
        <w:rPr>
          <w:rFonts w:ascii="Arial" w:hAnsi="Arial" w:cs="Arial"/>
        </w:rPr>
        <w:t>.</w:t>
      </w:r>
      <w:r w:rsidR="00B1367F" w:rsidRPr="00487A6A">
        <w:rPr>
          <w:rFonts w:ascii="Arial" w:hAnsi="Arial" w:cs="Arial"/>
        </w:rPr>
        <w:t xml:space="preserve"> The basic framework guides Ontario to ensure the organization’s objectives for example include patient centered focus (a current provincial government objective) and working with patients on the ground to ensure the care they receive is culturally appropriate. Additionally, to ensure maximum accountability, organizations </w:t>
      </w:r>
      <w:r w:rsidR="0072705C">
        <w:rPr>
          <w:rFonts w:ascii="Arial" w:hAnsi="Arial" w:cs="Arial"/>
        </w:rPr>
        <w:t xml:space="preserve">which are </w:t>
      </w:r>
      <w:r w:rsidR="00B1367F" w:rsidRPr="00487A6A">
        <w:rPr>
          <w:rFonts w:ascii="Arial" w:hAnsi="Arial" w:cs="Arial"/>
        </w:rPr>
        <w:t>similar to the ACCHS should be located in various communities, with elected board of directors, and work closely with long-term care homes to ensure</w:t>
      </w:r>
      <w:r w:rsidR="0072705C">
        <w:rPr>
          <w:rFonts w:ascii="Arial" w:hAnsi="Arial" w:cs="Arial"/>
        </w:rPr>
        <w:t xml:space="preserve"> that</w:t>
      </w:r>
      <w:r w:rsidR="00B1367F" w:rsidRPr="00487A6A">
        <w:rPr>
          <w:rFonts w:ascii="Arial" w:hAnsi="Arial" w:cs="Arial"/>
        </w:rPr>
        <w:t xml:space="preserve"> residents</w:t>
      </w:r>
      <w:r w:rsidR="0072705C">
        <w:rPr>
          <w:rFonts w:ascii="Arial" w:hAnsi="Arial" w:cs="Arial"/>
        </w:rPr>
        <w:t xml:space="preserve"> receive meaningful care and programs. </w:t>
      </w:r>
      <w:r w:rsidR="00B1367F" w:rsidRPr="00487A6A">
        <w:rPr>
          <w:rFonts w:ascii="Arial" w:hAnsi="Arial" w:cs="Arial"/>
        </w:rPr>
        <w:t xml:space="preserve"> Further, leveraging existing staff who identify with a certain culture can follow in the ACCHS footsteps by developing a mentorship program for staff to </w:t>
      </w:r>
      <w:r w:rsidR="00B1367F" w:rsidRPr="00487A6A">
        <w:rPr>
          <w:rFonts w:ascii="Arial" w:hAnsi="Arial" w:cs="Arial"/>
        </w:rPr>
        <w:lastRenderedPageBreak/>
        <w:t xml:space="preserve">better understand those in their care. Lastly, applying the ACCHS framework to Ontario allows for elements of racism to be eliminated through collaboration with families and patients to understand each culture and need, and implementing these changes to homes. </w:t>
      </w:r>
    </w:p>
    <w:p w14:paraId="2A6F5F9D" w14:textId="466669AA" w:rsidR="003728D2" w:rsidRPr="00487A6A" w:rsidRDefault="00626256" w:rsidP="004F3860">
      <w:pPr>
        <w:spacing w:line="480" w:lineRule="auto"/>
        <w:rPr>
          <w:rFonts w:ascii="Arial" w:hAnsi="Arial" w:cs="Arial"/>
        </w:rPr>
      </w:pPr>
      <w:r w:rsidRPr="00487A6A">
        <w:rPr>
          <w:rFonts w:ascii="Arial" w:hAnsi="Arial" w:cs="Arial"/>
        </w:rPr>
        <w:tab/>
        <w:t>Regarding traditional western style homes and its fostering o</w:t>
      </w:r>
      <w:r w:rsidR="00B01C4F" w:rsidRPr="00487A6A">
        <w:rPr>
          <w:rFonts w:ascii="Arial" w:hAnsi="Arial" w:cs="Arial"/>
        </w:rPr>
        <w:t>f</w:t>
      </w:r>
      <w:r w:rsidRPr="00487A6A">
        <w:rPr>
          <w:rFonts w:ascii="Arial" w:hAnsi="Arial" w:cs="Arial"/>
        </w:rPr>
        <w:t xml:space="preserve"> racism, the BC</w:t>
      </w:r>
      <w:r w:rsidR="0072705C">
        <w:rPr>
          <w:rFonts w:ascii="Arial" w:hAnsi="Arial" w:cs="Arial"/>
        </w:rPr>
        <w:t>’s</w:t>
      </w:r>
      <w:r w:rsidRPr="00487A6A">
        <w:rPr>
          <w:rFonts w:ascii="Arial" w:hAnsi="Arial" w:cs="Arial"/>
        </w:rPr>
        <w:t xml:space="preserve"> six stages of change model offers Ontario an opportunity to both fully understand the issue</w:t>
      </w:r>
      <w:r w:rsidR="0072705C">
        <w:rPr>
          <w:rFonts w:ascii="Arial" w:hAnsi="Arial" w:cs="Arial"/>
        </w:rPr>
        <w:t>s</w:t>
      </w:r>
      <w:r w:rsidRPr="00487A6A">
        <w:rPr>
          <w:rFonts w:ascii="Arial" w:hAnsi="Arial" w:cs="Arial"/>
        </w:rPr>
        <w:t xml:space="preserve"> at hand, </w:t>
      </w:r>
      <w:r w:rsidR="00B01C4F" w:rsidRPr="00487A6A">
        <w:rPr>
          <w:rFonts w:ascii="Arial" w:hAnsi="Arial" w:cs="Arial"/>
        </w:rPr>
        <w:t>and</w:t>
      </w:r>
      <w:r w:rsidRPr="00487A6A">
        <w:rPr>
          <w:rFonts w:ascii="Arial" w:hAnsi="Arial" w:cs="Arial"/>
        </w:rPr>
        <w:t xml:space="preserve"> also develop a plan to move forward and address </w:t>
      </w:r>
      <w:r w:rsidR="0072705C">
        <w:rPr>
          <w:rFonts w:ascii="Arial" w:hAnsi="Arial" w:cs="Arial"/>
        </w:rPr>
        <w:t>them</w:t>
      </w:r>
      <w:r w:rsidR="00AA7B93" w:rsidRPr="00487A6A">
        <w:rPr>
          <w:rFonts w:ascii="Arial" w:hAnsi="Arial" w:cs="Arial"/>
        </w:rPr>
        <w:t xml:space="preserve">. </w:t>
      </w:r>
      <w:r w:rsidR="0019012C" w:rsidRPr="00487A6A">
        <w:rPr>
          <w:rFonts w:ascii="Arial" w:hAnsi="Arial" w:cs="Arial"/>
        </w:rPr>
        <w:t xml:space="preserve">For example, </w:t>
      </w:r>
      <w:r w:rsidR="007564F3" w:rsidRPr="00487A6A">
        <w:rPr>
          <w:rFonts w:ascii="Arial" w:hAnsi="Arial" w:cs="Arial"/>
        </w:rPr>
        <w:t xml:space="preserve">at the first stage of change it would be easy for Ontario to develop information regarding why traditional western homes do not foster patient </w:t>
      </w:r>
      <w:r w:rsidR="000C7BA9" w:rsidRPr="00487A6A">
        <w:rPr>
          <w:rFonts w:ascii="Arial" w:hAnsi="Arial" w:cs="Arial"/>
        </w:rPr>
        <w:t>centred</w:t>
      </w:r>
      <w:r w:rsidR="007564F3" w:rsidRPr="00487A6A">
        <w:rPr>
          <w:rFonts w:ascii="Arial" w:hAnsi="Arial" w:cs="Arial"/>
        </w:rPr>
        <w:t xml:space="preserve"> care or improve health outcomes for those living within long-term care. This stage of change would expose information to policymakers and ensure each member truly understands the issue at hand. Additionally, at the fourth level of change</w:t>
      </w:r>
      <w:r w:rsidR="00B43D9B">
        <w:rPr>
          <w:rFonts w:ascii="Arial" w:hAnsi="Arial" w:cs="Arial"/>
        </w:rPr>
        <w:t>,</w:t>
      </w:r>
      <w:r w:rsidR="007564F3" w:rsidRPr="00487A6A">
        <w:rPr>
          <w:rFonts w:ascii="Arial" w:hAnsi="Arial" w:cs="Arial"/>
        </w:rPr>
        <w:t xml:space="preserve"> policy makers can develop a plan including ensuring any new long-term care home developments include consultations with specific cultures (or even the new organizations created similar to the ACCHS’s). This theory is easily transmittable to </w:t>
      </w:r>
      <w:r w:rsidR="000C7BA9" w:rsidRPr="00487A6A">
        <w:rPr>
          <w:rFonts w:ascii="Arial" w:hAnsi="Arial" w:cs="Arial"/>
        </w:rPr>
        <w:t>Ontario and</w:t>
      </w:r>
      <w:r w:rsidR="007564F3" w:rsidRPr="00487A6A">
        <w:rPr>
          <w:rFonts w:ascii="Arial" w:hAnsi="Arial" w:cs="Arial"/>
        </w:rPr>
        <w:t xml:space="preserve"> allows the government to exemplify to the public the steps it is or has taken to try to address racism within our long-term care sector.</w:t>
      </w:r>
      <w:r w:rsidR="003728D2" w:rsidRPr="00487A6A">
        <w:rPr>
          <w:rFonts w:ascii="Arial" w:hAnsi="Arial" w:cs="Arial"/>
        </w:rPr>
        <w:t xml:space="preserve"> </w:t>
      </w:r>
    </w:p>
    <w:p w14:paraId="6CD21013" w14:textId="65DB8CFB" w:rsidR="00B01C4F" w:rsidRDefault="00B01C4F" w:rsidP="00B01C4F">
      <w:pPr>
        <w:pStyle w:val="Heading1"/>
        <w:rPr>
          <w:rFonts w:ascii="Arial" w:hAnsi="Arial" w:cs="Arial"/>
        </w:rPr>
      </w:pPr>
      <w:r w:rsidRPr="00487A6A">
        <w:rPr>
          <w:rFonts w:ascii="Arial" w:hAnsi="Arial" w:cs="Arial"/>
        </w:rPr>
        <w:t xml:space="preserve">Conclusion </w:t>
      </w:r>
    </w:p>
    <w:p w14:paraId="32BC7351" w14:textId="77777777" w:rsidR="00B43D9B" w:rsidRPr="00BB67F9" w:rsidRDefault="00B43D9B" w:rsidP="00BB67F9"/>
    <w:p w14:paraId="3D4F788C" w14:textId="64737ED0" w:rsidR="00B01C4F" w:rsidRPr="00487A6A" w:rsidRDefault="00B01C4F" w:rsidP="005F2D0B">
      <w:pPr>
        <w:spacing w:line="480" w:lineRule="auto"/>
        <w:ind w:firstLine="720"/>
        <w:rPr>
          <w:rFonts w:ascii="Arial" w:hAnsi="Arial" w:cs="Arial"/>
        </w:rPr>
      </w:pPr>
      <w:r w:rsidRPr="00487A6A">
        <w:rPr>
          <w:rFonts w:ascii="Arial" w:hAnsi="Arial" w:cs="Arial"/>
        </w:rPr>
        <w:t xml:space="preserve">In conclusion, racism within long-term care is a public health issue that can be addressed before problems worsen. Through the development of cultural organizations within various communities, long-term care home development in the future can be informed and include collaboration with various representative stakeholders. </w:t>
      </w:r>
      <w:r w:rsidRPr="00487A6A">
        <w:rPr>
          <w:rFonts w:ascii="Arial" w:hAnsi="Arial" w:cs="Arial"/>
        </w:rPr>
        <w:lastRenderedPageBreak/>
        <w:t xml:space="preserve">Additionally, the six stages of change model can introduce a new system in the policy process whereby policy makers </w:t>
      </w:r>
      <w:r w:rsidR="00B43D9B">
        <w:rPr>
          <w:rFonts w:ascii="Arial" w:hAnsi="Arial" w:cs="Arial"/>
        </w:rPr>
        <w:t>can</w:t>
      </w:r>
      <w:r w:rsidR="00B43D9B" w:rsidRPr="00487A6A">
        <w:rPr>
          <w:rFonts w:ascii="Arial" w:hAnsi="Arial" w:cs="Arial"/>
        </w:rPr>
        <w:t xml:space="preserve"> </w:t>
      </w:r>
      <w:r w:rsidRPr="00487A6A">
        <w:rPr>
          <w:rFonts w:ascii="Arial" w:hAnsi="Arial" w:cs="Arial"/>
        </w:rPr>
        <w:t>understand the issue</w:t>
      </w:r>
      <w:r w:rsidR="00B43D9B">
        <w:rPr>
          <w:rFonts w:ascii="Arial" w:hAnsi="Arial" w:cs="Arial"/>
        </w:rPr>
        <w:t>s</w:t>
      </w:r>
      <w:r w:rsidRPr="00487A6A">
        <w:rPr>
          <w:rFonts w:ascii="Arial" w:hAnsi="Arial" w:cs="Arial"/>
        </w:rPr>
        <w:t xml:space="preserve"> at hand and develop a proper and beneficial plan to address </w:t>
      </w:r>
      <w:r w:rsidR="00B43D9B">
        <w:rPr>
          <w:rFonts w:ascii="Arial" w:hAnsi="Arial" w:cs="Arial"/>
        </w:rPr>
        <w:t>them</w:t>
      </w:r>
      <w:r w:rsidRPr="00487A6A">
        <w:rPr>
          <w:rFonts w:ascii="Arial" w:hAnsi="Arial" w:cs="Arial"/>
        </w:rPr>
        <w:t xml:space="preserve">. Long-term care needs to be reformed, whether that be through various standard setting models or simply changing artwork in a home to be more inclusive. The use of Australia’s ACCHS organization and BC’s six stages of change model offer one step forward in the reform process. </w:t>
      </w:r>
    </w:p>
    <w:p w14:paraId="7DD4480F" w14:textId="53DD560B" w:rsidR="003728D2" w:rsidRPr="00487A6A" w:rsidRDefault="003728D2" w:rsidP="004F3860">
      <w:pPr>
        <w:spacing w:line="480" w:lineRule="auto"/>
        <w:rPr>
          <w:rFonts w:ascii="Arial" w:hAnsi="Arial" w:cs="Arial"/>
        </w:rPr>
      </w:pPr>
      <w:r w:rsidRPr="00487A6A">
        <w:rPr>
          <w:rFonts w:ascii="Arial" w:hAnsi="Arial" w:cs="Arial"/>
        </w:rPr>
        <w:tab/>
      </w:r>
    </w:p>
    <w:p w14:paraId="16944425" w14:textId="76A50FA6" w:rsidR="0058485E" w:rsidRPr="00487A6A" w:rsidRDefault="0058485E">
      <w:pPr>
        <w:rPr>
          <w:rFonts w:ascii="Arial" w:hAnsi="Arial" w:cs="Arial"/>
        </w:rPr>
      </w:pPr>
      <w:r w:rsidRPr="00487A6A">
        <w:rPr>
          <w:rFonts w:ascii="Arial" w:hAnsi="Arial" w:cs="Arial"/>
        </w:rPr>
        <w:br w:type="page"/>
      </w:r>
    </w:p>
    <w:p w14:paraId="35565070" w14:textId="78D1CB86" w:rsidR="008C56DB" w:rsidRPr="00487A6A" w:rsidRDefault="0058485E" w:rsidP="0058485E">
      <w:pPr>
        <w:pStyle w:val="Heading1"/>
        <w:rPr>
          <w:rFonts w:ascii="Arial" w:hAnsi="Arial" w:cs="Arial"/>
        </w:rPr>
      </w:pPr>
      <w:r w:rsidRPr="00487A6A">
        <w:rPr>
          <w:rFonts w:ascii="Arial" w:hAnsi="Arial" w:cs="Arial"/>
        </w:rPr>
        <w:lastRenderedPageBreak/>
        <w:t>Appendix A</w:t>
      </w:r>
    </w:p>
    <w:p w14:paraId="2379DA41" w14:textId="77777777" w:rsidR="0058485E" w:rsidRPr="00487A6A" w:rsidRDefault="0058485E" w:rsidP="0058485E">
      <w:pPr>
        <w:rPr>
          <w:rFonts w:ascii="Arial" w:hAnsi="Arial" w:cs="Arial"/>
        </w:rPr>
      </w:pPr>
    </w:p>
    <w:p w14:paraId="774FA83E" w14:textId="0ABF2FC8" w:rsidR="0058485E" w:rsidRPr="00487A6A" w:rsidRDefault="0058485E" w:rsidP="0058485E">
      <w:pPr>
        <w:rPr>
          <w:rFonts w:ascii="Arial" w:hAnsi="Arial" w:cs="Arial"/>
        </w:rPr>
      </w:pPr>
      <w:r w:rsidRPr="00487A6A">
        <w:rPr>
          <w:rFonts w:ascii="Arial" w:hAnsi="Arial" w:cs="Arial"/>
          <w:noProof/>
        </w:rPr>
        <w:drawing>
          <wp:anchor distT="0" distB="0" distL="114300" distR="114300" simplePos="0" relativeHeight="251658240" behindDoc="0" locked="0" layoutInCell="1" allowOverlap="1" wp14:anchorId="5CD7B3EE" wp14:editId="3D6C41C0">
            <wp:simplePos x="0" y="0"/>
            <wp:positionH relativeFrom="column">
              <wp:posOffset>-111369</wp:posOffset>
            </wp:positionH>
            <wp:positionV relativeFrom="paragraph">
              <wp:posOffset>190403</wp:posOffset>
            </wp:positionV>
            <wp:extent cx="4730752" cy="3492000"/>
            <wp:effectExtent l="0" t="0" r="0" b="635"/>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730752" cy="3492000"/>
                    </a:xfrm>
                    <a:prstGeom prst="rect">
                      <a:avLst/>
                    </a:prstGeom>
                  </pic:spPr>
                </pic:pic>
              </a:graphicData>
            </a:graphic>
            <wp14:sizeRelH relativeFrom="page">
              <wp14:pctWidth>0</wp14:pctWidth>
            </wp14:sizeRelH>
            <wp14:sizeRelV relativeFrom="page">
              <wp14:pctHeight>0</wp14:pctHeight>
            </wp14:sizeRelV>
          </wp:anchor>
        </w:drawing>
      </w:r>
      <w:r w:rsidRPr="00487A6A">
        <w:rPr>
          <w:rFonts w:ascii="Arial" w:hAnsi="Arial" w:cs="Arial"/>
        </w:rPr>
        <w:t>Six Stages of Change Model – British Columbia</w:t>
      </w:r>
    </w:p>
    <w:p w14:paraId="4CE27194" w14:textId="3E16C638" w:rsidR="0058485E" w:rsidRPr="00487A6A" w:rsidRDefault="0058485E" w:rsidP="0058485E">
      <w:pPr>
        <w:rPr>
          <w:rFonts w:ascii="Arial" w:hAnsi="Arial" w:cs="Arial"/>
        </w:rPr>
      </w:pPr>
      <w:r w:rsidRPr="00487A6A">
        <w:rPr>
          <w:rFonts w:ascii="Arial" w:hAnsi="Arial" w:cs="Arial"/>
        </w:rPr>
        <w:t xml:space="preserve"> </w:t>
      </w:r>
    </w:p>
    <w:p w14:paraId="7306485D" w14:textId="502336BF" w:rsidR="0058485E" w:rsidRPr="00487A6A" w:rsidRDefault="0058485E" w:rsidP="0058485E">
      <w:pPr>
        <w:rPr>
          <w:rFonts w:ascii="Arial" w:hAnsi="Arial" w:cs="Arial"/>
        </w:rPr>
      </w:pPr>
      <w:r w:rsidRPr="00487A6A">
        <w:rPr>
          <w:rFonts w:ascii="Arial" w:hAnsi="Arial" w:cs="Arial"/>
        </w:rPr>
        <w:t>(Affiliation of Multicultural Societies and Service Agencies of BC, 2001)</w:t>
      </w:r>
    </w:p>
    <w:p w14:paraId="71F8114E" w14:textId="54BCC7F5" w:rsidR="005F2D0B" w:rsidRPr="00487A6A" w:rsidRDefault="005F2D0B" w:rsidP="0058485E">
      <w:pPr>
        <w:rPr>
          <w:rFonts w:ascii="Arial" w:hAnsi="Arial" w:cs="Arial"/>
        </w:rPr>
      </w:pPr>
    </w:p>
    <w:p w14:paraId="694FEE20" w14:textId="3A6F1F96" w:rsidR="005F2D0B" w:rsidRPr="00487A6A" w:rsidRDefault="005F2D0B">
      <w:pPr>
        <w:rPr>
          <w:rFonts w:ascii="Arial" w:hAnsi="Arial" w:cs="Arial"/>
        </w:rPr>
      </w:pPr>
      <w:r w:rsidRPr="00487A6A">
        <w:rPr>
          <w:rFonts w:ascii="Arial" w:hAnsi="Arial" w:cs="Arial"/>
        </w:rPr>
        <w:br w:type="page"/>
      </w:r>
    </w:p>
    <w:p w14:paraId="541B8ECA" w14:textId="41134F12" w:rsidR="005F2D0B" w:rsidRPr="00BB67F9" w:rsidRDefault="005F2D0B" w:rsidP="005F2D0B">
      <w:pPr>
        <w:jc w:val="center"/>
        <w:rPr>
          <w:rFonts w:ascii="Arial" w:hAnsi="Arial" w:cs="Arial"/>
          <w:b/>
          <w:bCs/>
        </w:rPr>
      </w:pPr>
      <w:r w:rsidRPr="00BB67F9">
        <w:rPr>
          <w:rFonts w:ascii="Arial" w:hAnsi="Arial" w:cs="Arial"/>
          <w:b/>
          <w:bCs/>
        </w:rPr>
        <w:lastRenderedPageBreak/>
        <w:t>References</w:t>
      </w:r>
    </w:p>
    <w:p w14:paraId="1CCD4560" w14:textId="77777777" w:rsidR="005F2D0B" w:rsidRPr="00487A6A" w:rsidRDefault="005F2D0B" w:rsidP="005F2D0B">
      <w:pPr>
        <w:jc w:val="center"/>
        <w:rPr>
          <w:rFonts w:ascii="Arial" w:hAnsi="Arial" w:cs="Arial"/>
        </w:rPr>
      </w:pPr>
    </w:p>
    <w:p w14:paraId="58EBE4EC" w14:textId="77777777" w:rsidR="00487A6A" w:rsidRPr="00487A6A" w:rsidRDefault="00487A6A" w:rsidP="00487A6A">
      <w:pPr>
        <w:rPr>
          <w:rFonts w:ascii="Arial" w:hAnsi="Arial" w:cs="Arial"/>
        </w:rPr>
      </w:pPr>
      <w:r w:rsidRPr="00487A6A">
        <w:rPr>
          <w:rFonts w:ascii="Arial" w:hAnsi="Arial" w:cs="Arial"/>
        </w:rPr>
        <w:t>Aboriginal Health &amp; Medical Research Council. (2015). Aboriginal communities improving Aboriginal health: An evidence review on the contribution of Aboriginal Community Controlled Health Services to improving Aboriginal health. Sydney: AH&amp;MRC.</w:t>
      </w:r>
    </w:p>
    <w:p w14:paraId="7EF2915B" w14:textId="77777777" w:rsidR="00487A6A" w:rsidRPr="00487A6A" w:rsidRDefault="00487A6A" w:rsidP="005F2D0B">
      <w:pPr>
        <w:rPr>
          <w:rFonts w:ascii="Arial" w:hAnsi="Arial" w:cs="Arial"/>
          <w:color w:val="000000"/>
          <w:shd w:val="clear" w:color="auto" w:fill="FFFFFF"/>
        </w:rPr>
      </w:pPr>
    </w:p>
    <w:p w14:paraId="173400E7" w14:textId="56B528FF" w:rsidR="005F2D0B" w:rsidRPr="00487A6A" w:rsidRDefault="005F2D0B" w:rsidP="005F2D0B">
      <w:pPr>
        <w:rPr>
          <w:rFonts w:ascii="Arial" w:hAnsi="Arial" w:cs="Arial"/>
          <w:color w:val="000000"/>
          <w:shd w:val="clear" w:color="auto" w:fill="FFFFFF"/>
        </w:rPr>
      </w:pPr>
      <w:r w:rsidRPr="00487A6A">
        <w:rPr>
          <w:rFonts w:ascii="Arial" w:hAnsi="Arial" w:cs="Arial"/>
          <w:color w:val="000000"/>
          <w:shd w:val="clear" w:color="auto" w:fill="FFFFFF"/>
        </w:rPr>
        <w:t>Affiliation of Multicultural Societies and Service Agencies of BC, 2001. </w:t>
      </w:r>
      <w:r w:rsidRPr="00487A6A">
        <w:rPr>
          <w:rFonts w:ascii="Arial" w:hAnsi="Arial" w:cs="Arial"/>
          <w:i/>
          <w:iCs/>
          <w:color w:val="000000"/>
          <w:shd w:val="clear" w:color="auto" w:fill="FFFFFF"/>
        </w:rPr>
        <w:t>Long-term Anti-racism Strategies: A Guide to Developing Effective Community Projects</w:t>
      </w:r>
      <w:r w:rsidRPr="00487A6A">
        <w:rPr>
          <w:rFonts w:ascii="Arial" w:hAnsi="Arial" w:cs="Arial"/>
          <w:color w:val="000000"/>
          <w:shd w:val="clear" w:color="auto" w:fill="FFFFFF"/>
        </w:rPr>
        <w:t>. pp.1-30.</w:t>
      </w:r>
    </w:p>
    <w:p w14:paraId="3816E50C" w14:textId="77777777" w:rsidR="00AE7484" w:rsidRPr="00487A6A" w:rsidRDefault="00AE7484" w:rsidP="00AE7484">
      <w:pPr>
        <w:rPr>
          <w:rFonts w:ascii="Arial" w:hAnsi="Arial" w:cs="Arial"/>
          <w:color w:val="000000"/>
          <w:shd w:val="clear" w:color="auto" w:fill="FFFFFF"/>
        </w:rPr>
      </w:pPr>
    </w:p>
    <w:p w14:paraId="0D468561" w14:textId="65779834" w:rsidR="00AE7484" w:rsidRPr="00487A6A" w:rsidRDefault="00AE7484" w:rsidP="00AE7484">
      <w:pPr>
        <w:rPr>
          <w:rFonts w:ascii="Arial" w:hAnsi="Arial" w:cs="Arial"/>
        </w:rPr>
      </w:pPr>
      <w:r w:rsidRPr="00487A6A">
        <w:rPr>
          <w:rFonts w:ascii="Arial" w:hAnsi="Arial" w:cs="Arial"/>
          <w:color w:val="000000"/>
          <w:shd w:val="clear" w:color="auto" w:fill="FFFFFF"/>
        </w:rPr>
        <w:t>Nichols, J. (2020). Addressing Racial Injustice in Long-Term Care. </w:t>
      </w:r>
      <w:r w:rsidRPr="00487A6A">
        <w:rPr>
          <w:rFonts w:ascii="Arial" w:hAnsi="Arial" w:cs="Arial"/>
          <w:i/>
          <w:iCs/>
          <w:color w:val="000000"/>
          <w:shd w:val="clear" w:color="auto" w:fill="FFFFFF"/>
        </w:rPr>
        <w:t xml:space="preserve">Caring </w:t>
      </w:r>
      <w:proofErr w:type="gramStart"/>
      <w:r w:rsidRPr="00487A6A">
        <w:rPr>
          <w:rFonts w:ascii="Arial" w:hAnsi="Arial" w:cs="Arial"/>
          <w:i/>
          <w:iCs/>
          <w:color w:val="000000"/>
          <w:shd w:val="clear" w:color="auto" w:fill="FFFFFF"/>
        </w:rPr>
        <w:t>For</w:t>
      </w:r>
      <w:proofErr w:type="gramEnd"/>
      <w:r w:rsidRPr="00487A6A">
        <w:rPr>
          <w:rFonts w:ascii="Arial" w:hAnsi="Arial" w:cs="Arial"/>
          <w:i/>
          <w:iCs/>
          <w:color w:val="000000"/>
          <w:shd w:val="clear" w:color="auto" w:fill="FFFFFF"/>
        </w:rPr>
        <w:t xml:space="preserve"> The Ages</w:t>
      </w:r>
      <w:r w:rsidRPr="00487A6A">
        <w:rPr>
          <w:rFonts w:ascii="Arial" w:hAnsi="Arial" w:cs="Arial"/>
          <w:color w:val="000000"/>
          <w:shd w:val="clear" w:color="auto" w:fill="FFFFFF"/>
        </w:rPr>
        <w:t>, </w:t>
      </w:r>
      <w:r w:rsidRPr="00487A6A">
        <w:rPr>
          <w:rFonts w:ascii="Arial" w:hAnsi="Arial" w:cs="Arial"/>
          <w:i/>
          <w:iCs/>
          <w:color w:val="000000"/>
          <w:shd w:val="clear" w:color="auto" w:fill="FFFFFF"/>
        </w:rPr>
        <w:t>21</w:t>
      </w:r>
      <w:r w:rsidRPr="00487A6A">
        <w:rPr>
          <w:rFonts w:ascii="Arial" w:hAnsi="Arial" w:cs="Arial"/>
          <w:color w:val="000000"/>
          <w:shd w:val="clear" w:color="auto" w:fill="FFFFFF"/>
        </w:rPr>
        <w:t>(7), 4-5. https://doi.org/10.1016/j.carage.2020.09.011</w:t>
      </w:r>
    </w:p>
    <w:p w14:paraId="2D0F4887" w14:textId="77777777" w:rsidR="00AE7484" w:rsidRPr="00487A6A" w:rsidRDefault="00AE7484" w:rsidP="00AE7484">
      <w:pPr>
        <w:shd w:val="clear" w:color="auto" w:fill="FEFEFE"/>
        <w:spacing w:before="100" w:beforeAutospacing="1" w:after="100" w:afterAutospacing="1"/>
        <w:rPr>
          <w:rFonts w:ascii="Arial" w:hAnsi="Arial" w:cs="Arial"/>
          <w:color w:val="000000"/>
          <w:shd w:val="clear" w:color="auto" w:fill="FFFFFF"/>
        </w:rPr>
      </w:pPr>
      <w:r w:rsidRPr="00487A6A">
        <w:rPr>
          <w:rFonts w:ascii="Arial" w:hAnsi="Arial" w:cs="Arial"/>
          <w:color w:val="000000"/>
          <w:shd w:val="clear" w:color="auto" w:fill="FFFFFF"/>
        </w:rPr>
        <w:t>Ontario Centres for Learning, Research and Innovation in Long-Term Care. (2017). </w:t>
      </w:r>
      <w:r w:rsidRPr="00487A6A">
        <w:rPr>
          <w:rFonts w:ascii="Arial" w:hAnsi="Arial" w:cs="Arial"/>
          <w:i/>
          <w:iCs/>
          <w:color w:val="000000"/>
          <w:shd w:val="clear" w:color="auto" w:fill="FFFFFF"/>
        </w:rPr>
        <w:t>Supporting Cultural Diversity in Long-Term Care Needs Assessment and Work Plan for 2017-18</w:t>
      </w:r>
      <w:r w:rsidRPr="00487A6A">
        <w:rPr>
          <w:rFonts w:ascii="Arial" w:hAnsi="Arial" w:cs="Arial"/>
          <w:color w:val="000000"/>
          <w:shd w:val="clear" w:color="auto" w:fill="FFFFFF"/>
        </w:rPr>
        <w:t xml:space="preserve"> (pp. 1-57). Retrieved from </w:t>
      </w:r>
      <w:hyperlink r:id="rId9" w:history="1">
        <w:r w:rsidRPr="00487A6A">
          <w:rPr>
            <w:rStyle w:val="Hyperlink"/>
            <w:rFonts w:ascii="Arial" w:hAnsi="Arial" w:cs="Arial"/>
            <w:shd w:val="clear" w:color="auto" w:fill="FFFFFF"/>
          </w:rPr>
          <w:t>https://clri-ltc.ca/resource/diversity-needs-assessment/</w:t>
        </w:r>
      </w:hyperlink>
      <w:r w:rsidRPr="00487A6A">
        <w:rPr>
          <w:rFonts w:ascii="Arial" w:hAnsi="Arial" w:cs="Arial"/>
          <w:color w:val="000000"/>
          <w:shd w:val="clear" w:color="auto" w:fill="FFFFFF"/>
        </w:rPr>
        <w:t>.</w:t>
      </w:r>
    </w:p>
    <w:p w14:paraId="1F26044A" w14:textId="107F50B8" w:rsidR="005F2D0B" w:rsidRPr="00487A6A" w:rsidRDefault="005F2D0B" w:rsidP="005F2D0B">
      <w:pPr>
        <w:rPr>
          <w:rFonts w:ascii="Arial" w:hAnsi="Arial" w:cs="Arial"/>
          <w:color w:val="000000"/>
          <w:shd w:val="clear" w:color="auto" w:fill="FFFFFF"/>
        </w:rPr>
      </w:pPr>
    </w:p>
    <w:p w14:paraId="226DAFC9" w14:textId="77777777" w:rsidR="005F2D0B" w:rsidRPr="00487A6A" w:rsidRDefault="005F2D0B" w:rsidP="005F2D0B">
      <w:pPr>
        <w:rPr>
          <w:rFonts w:ascii="Arial" w:hAnsi="Arial" w:cs="Arial"/>
        </w:rPr>
      </w:pPr>
      <w:r w:rsidRPr="00487A6A">
        <w:rPr>
          <w:rFonts w:ascii="Arial" w:hAnsi="Arial" w:cs="Arial"/>
          <w:color w:val="000000"/>
          <w:shd w:val="clear" w:color="auto" w:fill="FFFFFF"/>
        </w:rPr>
        <w:t xml:space="preserve">Pearson, O., </w:t>
      </w:r>
      <w:proofErr w:type="spellStart"/>
      <w:r w:rsidRPr="00487A6A">
        <w:rPr>
          <w:rFonts w:ascii="Arial" w:hAnsi="Arial" w:cs="Arial"/>
          <w:color w:val="000000"/>
          <w:shd w:val="clear" w:color="auto" w:fill="FFFFFF"/>
        </w:rPr>
        <w:t>Schwartzkopff</w:t>
      </w:r>
      <w:proofErr w:type="spellEnd"/>
      <w:r w:rsidRPr="00487A6A">
        <w:rPr>
          <w:rFonts w:ascii="Arial" w:hAnsi="Arial" w:cs="Arial"/>
          <w:color w:val="000000"/>
          <w:shd w:val="clear" w:color="auto" w:fill="FFFFFF"/>
        </w:rPr>
        <w:t xml:space="preserve">, K., Dawson, A., Hagger, C., </w:t>
      </w:r>
      <w:proofErr w:type="spellStart"/>
      <w:r w:rsidRPr="00487A6A">
        <w:rPr>
          <w:rFonts w:ascii="Arial" w:hAnsi="Arial" w:cs="Arial"/>
          <w:color w:val="000000"/>
          <w:shd w:val="clear" w:color="auto" w:fill="FFFFFF"/>
        </w:rPr>
        <w:t>Karagi</w:t>
      </w:r>
      <w:proofErr w:type="spellEnd"/>
      <w:r w:rsidRPr="00487A6A">
        <w:rPr>
          <w:rFonts w:ascii="Arial" w:hAnsi="Arial" w:cs="Arial"/>
          <w:color w:val="000000"/>
          <w:shd w:val="clear" w:color="auto" w:fill="FFFFFF"/>
        </w:rPr>
        <w:t xml:space="preserve">, A., &amp; Davy, C. et al. (2020). Aboriginal </w:t>
      </w:r>
      <w:proofErr w:type="gramStart"/>
      <w:r w:rsidRPr="00487A6A">
        <w:rPr>
          <w:rFonts w:ascii="Arial" w:hAnsi="Arial" w:cs="Arial"/>
          <w:color w:val="000000"/>
          <w:shd w:val="clear" w:color="auto" w:fill="FFFFFF"/>
        </w:rPr>
        <w:t>community controlled</w:t>
      </w:r>
      <w:proofErr w:type="gramEnd"/>
      <w:r w:rsidRPr="00487A6A">
        <w:rPr>
          <w:rFonts w:ascii="Arial" w:hAnsi="Arial" w:cs="Arial"/>
          <w:color w:val="000000"/>
          <w:shd w:val="clear" w:color="auto" w:fill="FFFFFF"/>
        </w:rPr>
        <w:t xml:space="preserve"> health organisations address health equity through action on the social determinants of health of Aboriginal and Torres Strait Islander peoples in Australia. </w:t>
      </w:r>
      <w:r w:rsidRPr="00487A6A">
        <w:rPr>
          <w:rFonts w:ascii="Arial" w:hAnsi="Arial" w:cs="Arial"/>
          <w:i/>
          <w:iCs/>
          <w:color w:val="000000"/>
          <w:shd w:val="clear" w:color="auto" w:fill="FFFFFF"/>
        </w:rPr>
        <w:t>BMC Public Health</w:t>
      </w:r>
      <w:r w:rsidRPr="00487A6A">
        <w:rPr>
          <w:rFonts w:ascii="Arial" w:hAnsi="Arial" w:cs="Arial"/>
          <w:color w:val="000000"/>
          <w:shd w:val="clear" w:color="auto" w:fill="FFFFFF"/>
        </w:rPr>
        <w:t>, </w:t>
      </w:r>
      <w:r w:rsidRPr="00487A6A">
        <w:rPr>
          <w:rFonts w:ascii="Arial" w:hAnsi="Arial" w:cs="Arial"/>
          <w:i/>
          <w:iCs/>
          <w:color w:val="000000"/>
          <w:shd w:val="clear" w:color="auto" w:fill="FFFFFF"/>
        </w:rPr>
        <w:t>20</w:t>
      </w:r>
      <w:r w:rsidRPr="00487A6A">
        <w:rPr>
          <w:rFonts w:ascii="Arial" w:hAnsi="Arial" w:cs="Arial"/>
          <w:color w:val="000000"/>
          <w:shd w:val="clear" w:color="auto" w:fill="FFFFFF"/>
        </w:rPr>
        <w:t>(1). https://doi.org/10.1186/s12889-020-09943-4</w:t>
      </w:r>
    </w:p>
    <w:p w14:paraId="7F486168" w14:textId="64FD6EB6" w:rsidR="005F2D0B" w:rsidRPr="00487A6A" w:rsidRDefault="005F2D0B" w:rsidP="005F2D0B">
      <w:pPr>
        <w:rPr>
          <w:rFonts w:ascii="Arial" w:hAnsi="Arial" w:cs="Arial"/>
        </w:rPr>
      </w:pPr>
    </w:p>
    <w:p w14:paraId="58A09B4C" w14:textId="77777777" w:rsidR="005F2D0B" w:rsidRPr="00487A6A" w:rsidRDefault="005F2D0B" w:rsidP="005F2D0B">
      <w:pPr>
        <w:rPr>
          <w:rFonts w:ascii="Arial" w:hAnsi="Arial" w:cs="Arial"/>
        </w:rPr>
      </w:pPr>
      <w:proofErr w:type="spellStart"/>
      <w:r w:rsidRPr="00487A6A">
        <w:rPr>
          <w:rFonts w:ascii="Arial" w:hAnsi="Arial" w:cs="Arial"/>
          <w:color w:val="000000"/>
          <w:shd w:val="clear" w:color="auto" w:fill="FFFFFF"/>
        </w:rPr>
        <w:t>Panaretto</w:t>
      </w:r>
      <w:proofErr w:type="spellEnd"/>
      <w:r w:rsidRPr="00487A6A">
        <w:rPr>
          <w:rFonts w:ascii="Arial" w:hAnsi="Arial" w:cs="Arial"/>
          <w:color w:val="000000"/>
          <w:shd w:val="clear" w:color="auto" w:fill="FFFFFF"/>
        </w:rPr>
        <w:t xml:space="preserve">, K., </w:t>
      </w:r>
      <w:proofErr w:type="spellStart"/>
      <w:r w:rsidRPr="00487A6A">
        <w:rPr>
          <w:rFonts w:ascii="Arial" w:hAnsi="Arial" w:cs="Arial"/>
          <w:color w:val="000000"/>
          <w:shd w:val="clear" w:color="auto" w:fill="FFFFFF"/>
        </w:rPr>
        <w:t>Wenitong</w:t>
      </w:r>
      <w:proofErr w:type="spellEnd"/>
      <w:r w:rsidRPr="00487A6A">
        <w:rPr>
          <w:rFonts w:ascii="Arial" w:hAnsi="Arial" w:cs="Arial"/>
          <w:color w:val="000000"/>
          <w:shd w:val="clear" w:color="auto" w:fill="FFFFFF"/>
        </w:rPr>
        <w:t xml:space="preserve">, M., Button, S., &amp; Ring, I. (2014). Aboriginal </w:t>
      </w:r>
      <w:proofErr w:type="gramStart"/>
      <w:r w:rsidRPr="00487A6A">
        <w:rPr>
          <w:rFonts w:ascii="Arial" w:hAnsi="Arial" w:cs="Arial"/>
          <w:color w:val="000000"/>
          <w:shd w:val="clear" w:color="auto" w:fill="FFFFFF"/>
        </w:rPr>
        <w:t>community controlled</w:t>
      </w:r>
      <w:proofErr w:type="gramEnd"/>
      <w:r w:rsidRPr="00487A6A">
        <w:rPr>
          <w:rFonts w:ascii="Arial" w:hAnsi="Arial" w:cs="Arial"/>
          <w:color w:val="000000"/>
          <w:shd w:val="clear" w:color="auto" w:fill="FFFFFF"/>
        </w:rPr>
        <w:t xml:space="preserve"> health services: leading the way in primary care. </w:t>
      </w:r>
      <w:r w:rsidRPr="00487A6A">
        <w:rPr>
          <w:rFonts w:ascii="Arial" w:hAnsi="Arial" w:cs="Arial"/>
          <w:i/>
          <w:iCs/>
          <w:color w:val="000000"/>
          <w:shd w:val="clear" w:color="auto" w:fill="FFFFFF"/>
        </w:rPr>
        <w:t xml:space="preserve">Medical Journal </w:t>
      </w:r>
      <w:proofErr w:type="gramStart"/>
      <w:r w:rsidRPr="00487A6A">
        <w:rPr>
          <w:rFonts w:ascii="Arial" w:hAnsi="Arial" w:cs="Arial"/>
          <w:i/>
          <w:iCs/>
          <w:color w:val="000000"/>
          <w:shd w:val="clear" w:color="auto" w:fill="FFFFFF"/>
        </w:rPr>
        <w:t>Of</w:t>
      </w:r>
      <w:proofErr w:type="gramEnd"/>
      <w:r w:rsidRPr="00487A6A">
        <w:rPr>
          <w:rFonts w:ascii="Arial" w:hAnsi="Arial" w:cs="Arial"/>
          <w:i/>
          <w:iCs/>
          <w:color w:val="000000"/>
          <w:shd w:val="clear" w:color="auto" w:fill="FFFFFF"/>
        </w:rPr>
        <w:t xml:space="preserve"> Australia</w:t>
      </w:r>
      <w:r w:rsidRPr="00487A6A">
        <w:rPr>
          <w:rFonts w:ascii="Arial" w:hAnsi="Arial" w:cs="Arial"/>
          <w:color w:val="000000"/>
          <w:shd w:val="clear" w:color="auto" w:fill="FFFFFF"/>
        </w:rPr>
        <w:t>, </w:t>
      </w:r>
      <w:r w:rsidRPr="00487A6A">
        <w:rPr>
          <w:rFonts w:ascii="Arial" w:hAnsi="Arial" w:cs="Arial"/>
          <w:i/>
          <w:iCs/>
          <w:color w:val="000000"/>
          <w:shd w:val="clear" w:color="auto" w:fill="FFFFFF"/>
        </w:rPr>
        <w:t>200</w:t>
      </w:r>
      <w:r w:rsidRPr="00487A6A">
        <w:rPr>
          <w:rFonts w:ascii="Arial" w:hAnsi="Arial" w:cs="Arial"/>
          <w:color w:val="000000"/>
          <w:shd w:val="clear" w:color="auto" w:fill="FFFFFF"/>
        </w:rPr>
        <w:t>(11), 649-652. https://doi.org/10.5694/mja13.00005</w:t>
      </w:r>
    </w:p>
    <w:p w14:paraId="698D1AE6" w14:textId="77777777" w:rsidR="005F2D0B" w:rsidRPr="00487A6A" w:rsidRDefault="005F2D0B" w:rsidP="005F2D0B">
      <w:pPr>
        <w:rPr>
          <w:rFonts w:ascii="Arial" w:hAnsi="Arial" w:cs="Arial"/>
        </w:rPr>
      </w:pPr>
    </w:p>
    <w:p w14:paraId="6BCE9924" w14:textId="77777777" w:rsidR="00AE7484" w:rsidRPr="00487A6A" w:rsidRDefault="00AE7484" w:rsidP="00AE7484">
      <w:pPr>
        <w:shd w:val="clear" w:color="auto" w:fill="FEFEFE"/>
        <w:spacing w:before="100" w:beforeAutospacing="1" w:after="100" w:afterAutospacing="1"/>
        <w:rPr>
          <w:rFonts w:ascii="Arial" w:hAnsi="Arial" w:cs="Arial"/>
          <w:color w:val="000000"/>
          <w:shd w:val="clear" w:color="auto" w:fill="FFFFFF"/>
        </w:rPr>
      </w:pPr>
    </w:p>
    <w:p w14:paraId="15509383" w14:textId="29C637DF" w:rsidR="00AE7484" w:rsidRPr="00487A6A" w:rsidRDefault="00AE7484" w:rsidP="005F2D0B">
      <w:pPr>
        <w:rPr>
          <w:rFonts w:ascii="Arial" w:hAnsi="Arial" w:cs="Arial"/>
        </w:rPr>
      </w:pPr>
    </w:p>
    <w:sectPr w:rsidR="00AE7484" w:rsidRPr="00487A6A" w:rsidSect="003867C6">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9F847" w14:textId="77777777" w:rsidR="001961C8" w:rsidRDefault="001961C8" w:rsidP="00934B9D">
      <w:r>
        <w:separator/>
      </w:r>
    </w:p>
  </w:endnote>
  <w:endnote w:type="continuationSeparator" w:id="0">
    <w:p w14:paraId="0A21CAA8" w14:textId="77777777" w:rsidR="001961C8" w:rsidRDefault="001961C8" w:rsidP="0093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84705370"/>
      <w:docPartObj>
        <w:docPartGallery w:val="Page Numbers (Bottom of Page)"/>
        <w:docPartUnique/>
      </w:docPartObj>
    </w:sdtPr>
    <w:sdtEndPr>
      <w:rPr>
        <w:rStyle w:val="PageNumber"/>
      </w:rPr>
    </w:sdtEndPr>
    <w:sdtContent>
      <w:p w14:paraId="3ED54B7A" w14:textId="59675AFE" w:rsidR="00E82E69" w:rsidRDefault="00E82E69" w:rsidP="00C051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2DDF1E" w14:textId="77777777" w:rsidR="00E82E69" w:rsidRDefault="00E82E69">
    <w:pPr>
      <w:pStyle w:val="Footer"/>
      <w:ind w:right="360"/>
      <w:pPrChange w:id="0" w:author="Wahaj Alam" w:date="2021-03-11T14:05: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0431518"/>
      <w:docPartObj>
        <w:docPartGallery w:val="Page Numbers (Bottom of Page)"/>
        <w:docPartUnique/>
      </w:docPartObj>
    </w:sdtPr>
    <w:sdtEndPr>
      <w:rPr>
        <w:rStyle w:val="PageNumber"/>
      </w:rPr>
    </w:sdtEndPr>
    <w:sdtContent>
      <w:p w14:paraId="76DAE081" w14:textId="542F1227" w:rsidR="00E82E69" w:rsidRDefault="00E82E69" w:rsidP="00C051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BF8840" w14:textId="77777777" w:rsidR="00E82E69" w:rsidRDefault="00E82E69" w:rsidP="00335B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749F7" w14:textId="77777777" w:rsidR="001961C8" w:rsidRDefault="001961C8" w:rsidP="00934B9D">
      <w:r>
        <w:separator/>
      </w:r>
    </w:p>
  </w:footnote>
  <w:footnote w:type="continuationSeparator" w:id="0">
    <w:p w14:paraId="5367EA62" w14:textId="77777777" w:rsidR="001961C8" w:rsidRDefault="001961C8" w:rsidP="00934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0676E" w14:textId="3DD6579E" w:rsidR="00934B9D" w:rsidRDefault="00934B9D" w:rsidP="00934B9D">
    <w:pPr>
      <w:rPr>
        <w:rFonts w:ascii="Arial" w:hAnsi="Arial" w:cs="Arial"/>
      </w:rPr>
    </w:pPr>
    <w:r>
      <w:rPr>
        <w:rFonts w:ascii="Arial" w:hAnsi="Arial" w:cs="Arial"/>
      </w:rPr>
      <w:t xml:space="preserve">Alexandria De Sousa </w:t>
    </w:r>
  </w:p>
  <w:p w14:paraId="62EC13D9" w14:textId="365491DE" w:rsidR="00934B9D" w:rsidRDefault="00934B9D" w:rsidP="00934B9D">
    <w:pPr>
      <w:rPr>
        <w:rFonts w:ascii="Arial" w:hAnsi="Arial" w:cs="Arial"/>
      </w:rPr>
    </w:pPr>
    <w:r>
      <w:rPr>
        <w:rFonts w:ascii="Arial" w:hAnsi="Arial" w:cs="Arial"/>
      </w:rPr>
      <w:t>March 2021</w:t>
    </w:r>
  </w:p>
  <w:p w14:paraId="54ACD697" w14:textId="5638BABA" w:rsidR="00934B9D" w:rsidRPr="00BB67F9" w:rsidRDefault="00934B9D" w:rsidP="00934B9D">
    <w:pPr>
      <w:jc w:val="center"/>
      <w:rPr>
        <w:rFonts w:ascii="Arial" w:hAnsi="Arial" w:cs="Arial"/>
        <w:b/>
        <w:bCs/>
      </w:rPr>
    </w:pPr>
    <w:r w:rsidRPr="00BB67F9">
      <w:rPr>
        <w:rFonts w:ascii="Arial" w:hAnsi="Arial" w:cs="Arial"/>
        <w:b/>
        <w:bCs/>
      </w:rPr>
      <w:t>Racism within Long-Term care – Jurisdictional Scan</w:t>
    </w:r>
  </w:p>
  <w:p w14:paraId="013AD5DA" w14:textId="77777777" w:rsidR="00934B9D" w:rsidRDefault="00934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25164"/>
    <w:multiLevelType w:val="multilevel"/>
    <w:tmpl w:val="8090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0F473D"/>
    <w:multiLevelType w:val="hybridMultilevel"/>
    <w:tmpl w:val="EEA6FA9E"/>
    <w:lvl w:ilvl="0" w:tplc="741E04C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D28AB"/>
    <w:multiLevelType w:val="multilevel"/>
    <w:tmpl w:val="E80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ahaj Alam">
    <w15:presenceInfo w15:providerId="AD" w15:userId="S::wahaj.alam@mail.utoronto.ca::f86ca59a-ff2d-4594-bc5e-36325ac6f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53"/>
    <w:rsid w:val="000073DB"/>
    <w:rsid w:val="00037480"/>
    <w:rsid w:val="000C2F58"/>
    <w:rsid w:val="000C7BA9"/>
    <w:rsid w:val="000D1CB8"/>
    <w:rsid w:val="00155067"/>
    <w:rsid w:val="0019012C"/>
    <w:rsid w:val="001961C8"/>
    <w:rsid w:val="00224A3D"/>
    <w:rsid w:val="00235D22"/>
    <w:rsid w:val="002960CE"/>
    <w:rsid w:val="002B177C"/>
    <w:rsid w:val="002C719A"/>
    <w:rsid w:val="00303100"/>
    <w:rsid w:val="00334FF9"/>
    <w:rsid w:val="00335BFD"/>
    <w:rsid w:val="00344926"/>
    <w:rsid w:val="003728D2"/>
    <w:rsid w:val="003867C6"/>
    <w:rsid w:val="003B05E6"/>
    <w:rsid w:val="003B1D66"/>
    <w:rsid w:val="003E563C"/>
    <w:rsid w:val="00401454"/>
    <w:rsid w:val="00435FF6"/>
    <w:rsid w:val="004551C2"/>
    <w:rsid w:val="00487A6A"/>
    <w:rsid w:val="004F3860"/>
    <w:rsid w:val="00534D99"/>
    <w:rsid w:val="00535E81"/>
    <w:rsid w:val="00573C27"/>
    <w:rsid w:val="0058485E"/>
    <w:rsid w:val="005B19EA"/>
    <w:rsid w:val="005C439F"/>
    <w:rsid w:val="005F2D0B"/>
    <w:rsid w:val="00626256"/>
    <w:rsid w:val="00640E5F"/>
    <w:rsid w:val="00651353"/>
    <w:rsid w:val="006C0D31"/>
    <w:rsid w:val="006F2EF4"/>
    <w:rsid w:val="0072705C"/>
    <w:rsid w:val="007564F3"/>
    <w:rsid w:val="007962E0"/>
    <w:rsid w:val="008508D2"/>
    <w:rsid w:val="008A761B"/>
    <w:rsid w:val="008C33F7"/>
    <w:rsid w:val="008C56DB"/>
    <w:rsid w:val="008E2023"/>
    <w:rsid w:val="00921C97"/>
    <w:rsid w:val="00934B9D"/>
    <w:rsid w:val="00A01300"/>
    <w:rsid w:val="00AA7B93"/>
    <w:rsid w:val="00AE7484"/>
    <w:rsid w:val="00B01C4F"/>
    <w:rsid w:val="00B1367F"/>
    <w:rsid w:val="00B22811"/>
    <w:rsid w:val="00B43D9B"/>
    <w:rsid w:val="00B83665"/>
    <w:rsid w:val="00BA28D5"/>
    <w:rsid w:val="00BB0B33"/>
    <w:rsid w:val="00BB67F9"/>
    <w:rsid w:val="00BC7F61"/>
    <w:rsid w:val="00C6015C"/>
    <w:rsid w:val="00C654B9"/>
    <w:rsid w:val="00CB4B0A"/>
    <w:rsid w:val="00DD7C59"/>
    <w:rsid w:val="00E27B08"/>
    <w:rsid w:val="00E61A1C"/>
    <w:rsid w:val="00E82E69"/>
    <w:rsid w:val="00F82CB9"/>
    <w:rsid w:val="00F91ECE"/>
    <w:rsid w:val="00FD269E"/>
    <w:rsid w:val="00FE58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4B47"/>
  <w15:chartTrackingRefBased/>
  <w15:docId w15:val="{86037C33-DE61-FB4B-928A-927FFC8E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484"/>
    <w:rPr>
      <w:rFonts w:ascii="Times New Roman" w:eastAsia="Times New Roman" w:hAnsi="Times New Roman" w:cs="Times New Roman"/>
    </w:rPr>
  </w:style>
  <w:style w:type="paragraph" w:styleId="Heading1">
    <w:name w:val="heading 1"/>
    <w:basedOn w:val="Normal"/>
    <w:next w:val="Normal"/>
    <w:link w:val="Heading1Char"/>
    <w:uiPriority w:val="9"/>
    <w:qFormat/>
    <w:rsid w:val="005C43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28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39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37480"/>
    <w:rPr>
      <w:color w:val="0563C1" w:themeColor="hyperlink"/>
      <w:u w:val="single"/>
    </w:rPr>
  </w:style>
  <w:style w:type="character" w:styleId="UnresolvedMention">
    <w:name w:val="Unresolved Mention"/>
    <w:basedOn w:val="DefaultParagraphFont"/>
    <w:uiPriority w:val="99"/>
    <w:semiHidden/>
    <w:unhideWhenUsed/>
    <w:rsid w:val="00037480"/>
    <w:rPr>
      <w:color w:val="605E5C"/>
      <w:shd w:val="clear" w:color="auto" w:fill="E1DFDD"/>
    </w:rPr>
  </w:style>
  <w:style w:type="character" w:customStyle="1" w:styleId="Heading2Char">
    <w:name w:val="Heading 2 Char"/>
    <w:basedOn w:val="DefaultParagraphFont"/>
    <w:link w:val="Heading2"/>
    <w:uiPriority w:val="9"/>
    <w:rsid w:val="00BA28D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A28D5"/>
    <w:pPr>
      <w:ind w:left="720"/>
      <w:contextualSpacing/>
    </w:pPr>
  </w:style>
  <w:style w:type="paragraph" w:styleId="Revision">
    <w:name w:val="Revision"/>
    <w:hidden/>
    <w:uiPriority w:val="99"/>
    <w:semiHidden/>
    <w:rsid w:val="00934B9D"/>
    <w:rPr>
      <w:rFonts w:ascii="Times New Roman" w:eastAsia="Times New Roman" w:hAnsi="Times New Roman" w:cs="Times New Roman"/>
    </w:rPr>
  </w:style>
  <w:style w:type="paragraph" w:styleId="Header">
    <w:name w:val="header"/>
    <w:basedOn w:val="Normal"/>
    <w:link w:val="HeaderChar"/>
    <w:uiPriority w:val="99"/>
    <w:unhideWhenUsed/>
    <w:rsid w:val="00934B9D"/>
    <w:pPr>
      <w:tabs>
        <w:tab w:val="center" w:pos="4680"/>
        <w:tab w:val="right" w:pos="9360"/>
      </w:tabs>
    </w:pPr>
  </w:style>
  <w:style w:type="character" w:customStyle="1" w:styleId="HeaderChar">
    <w:name w:val="Header Char"/>
    <w:basedOn w:val="DefaultParagraphFont"/>
    <w:link w:val="Header"/>
    <w:uiPriority w:val="99"/>
    <w:rsid w:val="00934B9D"/>
    <w:rPr>
      <w:rFonts w:ascii="Times New Roman" w:eastAsia="Times New Roman" w:hAnsi="Times New Roman" w:cs="Times New Roman"/>
    </w:rPr>
  </w:style>
  <w:style w:type="paragraph" w:styleId="Footer">
    <w:name w:val="footer"/>
    <w:basedOn w:val="Normal"/>
    <w:link w:val="FooterChar"/>
    <w:uiPriority w:val="99"/>
    <w:unhideWhenUsed/>
    <w:rsid w:val="00934B9D"/>
    <w:pPr>
      <w:tabs>
        <w:tab w:val="center" w:pos="4680"/>
        <w:tab w:val="right" w:pos="9360"/>
      </w:tabs>
    </w:pPr>
  </w:style>
  <w:style w:type="character" w:customStyle="1" w:styleId="FooterChar">
    <w:name w:val="Footer Char"/>
    <w:basedOn w:val="DefaultParagraphFont"/>
    <w:link w:val="Footer"/>
    <w:uiPriority w:val="99"/>
    <w:rsid w:val="00934B9D"/>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34B9D"/>
    <w:rPr>
      <w:sz w:val="16"/>
      <w:szCs w:val="16"/>
    </w:rPr>
  </w:style>
  <w:style w:type="paragraph" w:styleId="CommentText">
    <w:name w:val="annotation text"/>
    <w:basedOn w:val="Normal"/>
    <w:link w:val="CommentTextChar"/>
    <w:uiPriority w:val="99"/>
    <w:semiHidden/>
    <w:unhideWhenUsed/>
    <w:rsid w:val="00934B9D"/>
    <w:rPr>
      <w:sz w:val="20"/>
      <w:szCs w:val="20"/>
    </w:rPr>
  </w:style>
  <w:style w:type="character" w:customStyle="1" w:styleId="CommentTextChar">
    <w:name w:val="Comment Text Char"/>
    <w:basedOn w:val="DefaultParagraphFont"/>
    <w:link w:val="CommentText"/>
    <w:uiPriority w:val="99"/>
    <w:semiHidden/>
    <w:rsid w:val="00934B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4B9D"/>
    <w:rPr>
      <w:b/>
      <w:bCs/>
    </w:rPr>
  </w:style>
  <w:style w:type="character" w:customStyle="1" w:styleId="CommentSubjectChar">
    <w:name w:val="Comment Subject Char"/>
    <w:basedOn w:val="CommentTextChar"/>
    <w:link w:val="CommentSubject"/>
    <w:uiPriority w:val="99"/>
    <w:semiHidden/>
    <w:rsid w:val="00934B9D"/>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E8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5507">
      <w:bodyDiv w:val="1"/>
      <w:marLeft w:val="0"/>
      <w:marRight w:val="0"/>
      <w:marTop w:val="0"/>
      <w:marBottom w:val="0"/>
      <w:divBdr>
        <w:top w:val="none" w:sz="0" w:space="0" w:color="auto"/>
        <w:left w:val="none" w:sz="0" w:space="0" w:color="auto"/>
        <w:bottom w:val="none" w:sz="0" w:space="0" w:color="auto"/>
        <w:right w:val="none" w:sz="0" w:space="0" w:color="auto"/>
      </w:divBdr>
    </w:div>
    <w:div w:id="229734128">
      <w:bodyDiv w:val="1"/>
      <w:marLeft w:val="0"/>
      <w:marRight w:val="0"/>
      <w:marTop w:val="0"/>
      <w:marBottom w:val="0"/>
      <w:divBdr>
        <w:top w:val="none" w:sz="0" w:space="0" w:color="auto"/>
        <w:left w:val="none" w:sz="0" w:space="0" w:color="auto"/>
        <w:bottom w:val="none" w:sz="0" w:space="0" w:color="auto"/>
        <w:right w:val="none" w:sz="0" w:space="0" w:color="auto"/>
      </w:divBdr>
    </w:div>
    <w:div w:id="387605712">
      <w:bodyDiv w:val="1"/>
      <w:marLeft w:val="0"/>
      <w:marRight w:val="0"/>
      <w:marTop w:val="0"/>
      <w:marBottom w:val="0"/>
      <w:divBdr>
        <w:top w:val="none" w:sz="0" w:space="0" w:color="auto"/>
        <w:left w:val="none" w:sz="0" w:space="0" w:color="auto"/>
        <w:bottom w:val="none" w:sz="0" w:space="0" w:color="auto"/>
        <w:right w:val="none" w:sz="0" w:space="0" w:color="auto"/>
      </w:divBdr>
    </w:div>
    <w:div w:id="506362600">
      <w:bodyDiv w:val="1"/>
      <w:marLeft w:val="0"/>
      <w:marRight w:val="0"/>
      <w:marTop w:val="0"/>
      <w:marBottom w:val="0"/>
      <w:divBdr>
        <w:top w:val="none" w:sz="0" w:space="0" w:color="auto"/>
        <w:left w:val="none" w:sz="0" w:space="0" w:color="auto"/>
        <w:bottom w:val="none" w:sz="0" w:space="0" w:color="auto"/>
        <w:right w:val="none" w:sz="0" w:space="0" w:color="auto"/>
      </w:divBdr>
    </w:div>
    <w:div w:id="610434290">
      <w:bodyDiv w:val="1"/>
      <w:marLeft w:val="0"/>
      <w:marRight w:val="0"/>
      <w:marTop w:val="0"/>
      <w:marBottom w:val="0"/>
      <w:divBdr>
        <w:top w:val="none" w:sz="0" w:space="0" w:color="auto"/>
        <w:left w:val="none" w:sz="0" w:space="0" w:color="auto"/>
        <w:bottom w:val="none" w:sz="0" w:space="0" w:color="auto"/>
        <w:right w:val="none" w:sz="0" w:space="0" w:color="auto"/>
      </w:divBdr>
    </w:div>
    <w:div w:id="919103293">
      <w:bodyDiv w:val="1"/>
      <w:marLeft w:val="0"/>
      <w:marRight w:val="0"/>
      <w:marTop w:val="0"/>
      <w:marBottom w:val="0"/>
      <w:divBdr>
        <w:top w:val="none" w:sz="0" w:space="0" w:color="auto"/>
        <w:left w:val="none" w:sz="0" w:space="0" w:color="auto"/>
        <w:bottom w:val="none" w:sz="0" w:space="0" w:color="auto"/>
        <w:right w:val="none" w:sz="0" w:space="0" w:color="auto"/>
      </w:divBdr>
    </w:div>
    <w:div w:id="1002469863">
      <w:bodyDiv w:val="1"/>
      <w:marLeft w:val="0"/>
      <w:marRight w:val="0"/>
      <w:marTop w:val="0"/>
      <w:marBottom w:val="0"/>
      <w:divBdr>
        <w:top w:val="none" w:sz="0" w:space="0" w:color="auto"/>
        <w:left w:val="none" w:sz="0" w:space="0" w:color="auto"/>
        <w:bottom w:val="none" w:sz="0" w:space="0" w:color="auto"/>
        <w:right w:val="none" w:sz="0" w:space="0" w:color="auto"/>
      </w:divBdr>
    </w:div>
    <w:div w:id="1129125455">
      <w:bodyDiv w:val="1"/>
      <w:marLeft w:val="0"/>
      <w:marRight w:val="0"/>
      <w:marTop w:val="0"/>
      <w:marBottom w:val="0"/>
      <w:divBdr>
        <w:top w:val="none" w:sz="0" w:space="0" w:color="auto"/>
        <w:left w:val="none" w:sz="0" w:space="0" w:color="auto"/>
        <w:bottom w:val="none" w:sz="0" w:space="0" w:color="auto"/>
        <w:right w:val="none" w:sz="0" w:space="0" w:color="auto"/>
      </w:divBdr>
    </w:div>
    <w:div w:id="1196894721">
      <w:bodyDiv w:val="1"/>
      <w:marLeft w:val="0"/>
      <w:marRight w:val="0"/>
      <w:marTop w:val="0"/>
      <w:marBottom w:val="0"/>
      <w:divBdr>
        <w:top w:val="none" w:sz="0" w:space="0" w:color="auto"/>
        <w:left w:val="none" w:sz="0" w:space="0" w:color="auto"/>
        <w:bottom w:val="none" w:sz="0" w:space="0" w:color="auto"/>
        <w:right w:val="none" w:sz="0" w:space="0" w:color="auto"/>
      </w:divBdr>
    </w:div>
    <w:div w:id="19704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ri-ltc.ca/resource/diversity-needs-assessment/"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1B928-37F3-8D4D-81C0-E998632D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Rose De Sousa</dc:creator>
  <cp:keywords/>
  <dc:description/>
  <cp:lastModifiedBy>Wahaj Alam</cp:lastModifiedBy>
  <cp:revision>2</cp:revision>
  <dcterms:created xsi:type="dcterms:W3CDTF">2021-03-14T03:03:00Z</dcterms:created>
  <dcterms:modified xsi:type="dcterms:W3CDTF">2021-03-14T03:03:00Z</dcterms:modified>
</cp:coreProperties>
</file>